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47.jpg" ContentType="image/jpeg"/>
  <Override PartName="/word/media/rId25.jpg" ContentType="image/jpeg"/>
  <Override PartName="/word/media/rId31.png" ContentType="image/png"/>
  <Override PartName="/word/media/rId60.jpg" ContentType="image/jpeg"/>
  <Override PartName="/word/media/rId64.jpg" ContentType="image/jpeg"/>
  <Override PartName="/word/media/rId55.png" ContentType="image/png"/>
  <Override PartName="/word/media/image1.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Insights</w:t>
      </w:r>
      <w:r>
        <w:t xml:space="preserve"> </w:t>
      </w:r>
      <w:r>
        <w:t xml:space="preserve">into</w:t>
      </w:r>
      <w:r>
        <w:t xml:space="preserve"> </w:t>
      </w:r>
      <w:r>
        <w:t xml:space="preserve">agricultural</w:t>
      </w:r>
      <w:r>
        <w:t xml:space="preserve"> </w:t>
      </w:r>
      <w:r>
        <w:t xml:space="preserve">practices</w:t>
      </w:r>
      <w:r>
        <w:t xml:space="preserve"> </w:t>
      </w:r>
      <w:r>
        <w:t xml:space="preserve">at</w:t>
      </w:r>
      <w:r>
        <w:t xml:space="preserve"> </w:t>
      </w:r>
      <w:r>
        <w:t xml:space="preserve">the</w:t>
      </w:r>
      <w:r>
        <w:t xml:space="preserve"> </w:t>
      </w:r>
      <w:r>
        <w:t xml:space="preserve">Phoenician</w:t>
      </w:r>
      <w:r>
        <w:t xml:space="preserve"> </w:t>
      </w:r>
      <w:r>
        <w:t xml:space="preserve">site</w:t>
      </w:r>
      <w:r>
        <w:t xml:space="preserve"> </w:t>
      </w:r>
      <w:r>
        <w:t xml:space="preserve">of</w:t>
      </w:r>
      <w:r>
        <w:t xml:space="preserve"> </w:t>
      </w:r>
      <w:r>
        <w:t xml:space="preserve">Castro</w:t>
      </w:r>
      <w:r>
        <w:t xml:space="preserve"> </w:t>
      </w:r>
      <w:r>
        <w:t xml:space="preserve">Marim</w:t>
      </w:r>
      <w:r>
        <w:t xml:space="preserve"> </w:t>
      </w:r>
      <w:r>
        <w:t xml:space="preserve">between</w:t>
      </w:r>
      <w:r>
        <w:t xml:space="preserve"> </w:t>
      </w:r>
      <w:r>
        <w:t xml:space="preserve">7</w:t>
      </w:r>
      <w:r>
        <w:rPr>
          <w:vertAlign w:val="superscript"/>
        </w:rPr>
        <w:t xml:space="preserve">th</w:t>
      </w:r>
      <w:r>
        <w:t xml:space="preserve"> </w:t>
      </w:r>
      <w:r>
        <w:t xml:space="preserve">–</w:t>
      </w:r>
      <w:r>
        <w:t xml:space="preserve"> </w:t>
      </w:r>
      <w:r>
        <w:t xml:space="preserve">5</w:t>
      </w:r>
      <w:r>
        <w:rPr>
          <w:vertAlign w:val="superscript"/>
        </w:rPr>
        <w:t xml:space="preserve">th</w:t>
      </w:r>
      <w:r>
        <w:t xml:space="preserve"> </w:t>
      </w:r>
      <w:r>
        <w:t xml:space="preserve">century</w:t>
      </w:r>
      <w:r>
        <w:t xml:space="preserve"> </w:t>
      </w:r>
      <w:r>
        <w:t xml:space="preserve">BCE</w:t>
      </w:r>
    </w:p>
    <w:p>
      <w:pPr>
        <w:pStyle w:val="Author"/>
      </w:pPr>
      <w:r>
        <w:t xml:space="preserve">Roshan</w:t>
      </w:r>
      <w:r>
        <w:t xml:space="preserve"> </w:t>
      </w:r>
      <w:r>
        <w:t xml:space="preserve">Paladugu</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Alessandra</w:t>
      </w:r>
      <w:r>
        <w:t xml:space="preserve"> </w:t>
      </w:r>
      <w:r>
        <w:t xml:space="preserve">Celant</w:t>
      </w:r>
      <w:r>
        <w:rPr>
          <w:vertAlign w:val="superscript"/>
        </w:rPr>
        <w:t xml:space="preserve">2</w:t>
      </w:r>
      <w:r>
        <w:t xml:space="preserve">,</w:t>
      </w:r>
      <w:r>
        <w:t xml:space="preserve"> </w:t>
      </w:r>
      <w:r>
        <w:t xml:space="preserve">Gopesh</w:t>
      </w:r>
      <w:r>
        <w:t xml:space="preserve"> </w:t>
      </w:r>
      <w:r>
        <w:t xml:space="preserve">Jha</w:t>
      </w:r>
      <w:r>
        <w:rPr>
          <w:vertAlign w:val="superscript"/>
        </w:rPr>
        <w:t xml:space="preserve">3</w:t>
      </w:r>
      <w:r>
        <w:t xml:space="preserve">,</w:t>
      </w:r>
      <w:r>
        <w:t xml:space="preserve"> </w:t>
      </w:r>
      <w:r>
        <w:t xml:space="preserve">Federico</w:t>
      </w:r>
      <w:r>
        <w:t xml:space="preserve"> </w:t>
      </w:r>
      <w:r>
        <w:t xml:space="preserve">Di</w:t>
      </w:r>
      <w:r>
        <w:t xml:space="preserve"> </w:t>
      </w:r>
      <w:r>
        <w:t xml:space="preserve">Rita</w:t>
      </w:r>
      <w:r>
        <w:rPr>
          <w:vertAlign w:val="superscript"/>
        </w:rPr>
        <w:t xml:space="preserve">2</w:t>
      </w:r>
      <w:r>
        <w:t xml:space="preserve">,</w:t>
      </w:r>
      <w:r>
        <w:t xml:space="preserve"> </w:t>
      </w:r>
      <w:r>
        <w:t xml:space="preserve">Elisa</w:t>
      </w:r>
      <w:r>
        <w:t xml:space="preserve"> </w:t>
      </w:r>
      <w:r>
        <w:t xml:space="preserve">de</w:t>
      </w:r>
      <w:r>
        <w:t xml:space="preserve"> </w:t>
      </w:r>
      <w:r>
        <w:t xml:space="preserve">Sousa</w:t>
      </w:r>
      <w:r>
        <w:rPr>
          <w:vertAlign w:val="superscript"/>
        </w:rPr>
        <w:t xml:space="preserve">4</w:t>
      </w:r>
      <w:r>
        <w:t xml:space="preserve">,</w:t>
      </w:r>
      <w:r>
        <w:t xml:space="preserve"> </w:t>
      </w:r>
      <w:r>
        <w:t xml:space="preserve">Ana</w:t>
      </w:r>
      <w:r>
        <w:t xml:space="preserve"> </w:t>
      </w:r>
      <w:r>
        <w:t xml:space="preserve">Margarida</w:t>
      </w:r>
      <w:r>
        <w:t xml:space="preserve"> </w:t>
      </w:r>
      <w:r>
        <w:t xml:space="preserve">Arruda</w:t>
      </w:r>
      <w:r>
        <w:rPr>
          <w:vertAlign w:val="superscript"/>
        </w:rPr>
        <w:t xml:space="preserve">4</w:t>
      </w:r>
      <w:r>
        <w:t xml:space="preserve">,</w:t>
      </w:r>
      <w:r>
        <w:t xml:space="preserve"> </w:t>
      </w:r>
      <w:r>
        <w:t xml:space="preserve">Anne-France</w:t>
      </w:r>
      <w:r>
        <w:t xml:space="preserve"> </w:t>
      </w:r>
      <w:r>
        <w:t xml:space="preserve">Maurer</w:t>
      </w:r>
      <w:r>
        <w:rPr>
          <w:vertAlign w:val="superscript"/>
        </w:rPr>
        <w:t xml:space="preserve">5</w:t>
      </w:r>
      <w:r>
        <w:t xml:space="preserve">,</w:t>
      </w:r>
      <w:r>
        <w:t xml:space="preserve"> </w:t>
      </w:r>
      <w:r>
        <w:t xml:space="preserve">Donatella</w:t>
      </w:r>
      <w:r>
        <w:t xml:space="preserve"> </w:t>
      </w:r>
      <w:r>
        <w:t xml:space="preserve">Magri</w:t>
      </w:r>
      <w:r>
        <w:rPr>
          <w:vertAlign w:val="superscript"/>
        </w:rPr>
        <w:t xml:space="preserve">2</w:t>
      </w:r>
      <w:r>
        <w:t xml:space="preserve">,</w:t>
      </w:r>
      <w:r>
        <w:t xml:space="preserve"> </w:t>
      </w:r>
      <w:r>
        <w:t xml:space="preserve">and</w:t>
      </w:r>
      <w:r>
        <w:t xml:space="preserve"> </w:t>
      </w:r>
      <w:r>
        <w:t xml:space="preserve">Cristina</w:t>
      </w:r>
      <w:r>
        <w:t xml:space="preserve"> </w:t>
      </w:r>
      <w:r>
        <w:t xml:space="preserve">Barrocas</w:t>
      </w:r>
      <w:r>
        <w:t xml:space="preserve"> </w:t>
      </w:r>
      <w:r>
        <w:t xml:space="preserve">Dias</w:t>
      </w:r>
      <w:r>
        <w:rPr>
          <w:vertAlign w:val="superscript"/>
        </w:rPr>
        <w:t xml:space="preserve">5</w:t>
      </w:r>
      <w:r>
        <w:rPr>
          <w:vertAlign w:val="superscript"/>
        </w:rPr>
        <w:t xml:space="preserve">,</w:t>
      </w:r>
      <w:r>
        <w:rPr>
          <w:vertAlign w:val="superscript"/>
        </w:rPr>
        <w:t xml:space="preserve">6</w:t>
      </w:r>
    </w:p>
    <w:p>
      <w:pPr>
        <w:pStyle w:val="Date"/>
      </w:pPr>
      <w:r>
        <w:t xml:space="preserve">15</w:t>
      </w:r>
      <w:r>
        <w:t xml:space="preserve"> </w:t>
      </w:r>
      <w:r>
        <w:t xml:space="preserve">October,</w:t>
      </w:r>
      <w:r>
        <w:t xml:space="preserve"> </w:t>
      </w:r>
      <w:r>
        <w:t xml:space="preserve">2024</w:t>
      </w:r>
    </w:p>
    <w:p>
      <w:pPr>
        <w:pStyle w:val="AbstractTitle"/>
      </w:pPr>
      <w:r>
        <w:t xml:space="preserve">Abstract</w:t>
      </w:r>
    </w:p>
    <w:p>
      <w:pPr>
        <w:pStyle w:val="Abstract"/>
      </w:pPr>
      <w:r>
        <w:t xml:space="preserve">Castro</w:t>
      </w:r>
      <w:r>
        <w:t xml:space="preserve"> </w:t>
      </w:r>
      <w:r>
        <w:t xml:space="preserve">Marim</w:t>
      </w:r>
      <w:r>
        <w:t xml:space="preserve"> </w:t>
      </w:r>
      <w:r>
        <w:t xml:space="preserve">is</w:t>
      </w:r>
      <w:r>
        <w:t xml:space="preserve"> </w:t>
      </w:r>
      <w:r>
        <w:t xml:space="preserve">an</w:t>
      </w:r>
      <w:r>
        <w:t xml:space="preserve"> </w:t>
      </w:r>
      <w:r>
        <w:t xml:space="preserve">Iron</w:t>
      </w:r>
      <w:r>
        <w:t xml:space="preserve"> </w:t>
      </w:r>
      <w:r>
        <w:t xml:space="preserve">Age</w:t>
      </w:r>
      <w:r>
        <w:t xml:space="preserve"> </w:t>
      </w:r>
      <w:r>
        <w:t xml:space="preserve">site</w:t>
      </w:r>
      <w:r>
        <w:t xml:space="preserve"> </w:t>
      </w:r>
      <w:r>
        <w:t xml:space="preserve">from</w:t>
      </w:r>
      <w:r>
        <w:t xml:space="preserve"> </w:t>
      </w:r>
      <w:r>
        <w:t xml:space="preserve">the</w:t>
      </w:r>
      <w:r>
        <w:t xml:space="preserve"> </w:t>
      </w:r>
      <w:r>
        <w:t xml:space="preserve">Algarve</w:t>
      </w:r>
      <w:r>
        <w:t xml:space="preserve"> </w:t>
      </w:r>
      <w:r>
        <w:t xml:space="preserve">region,</w:t>
      </w:r>
      <w:r>
        <w:t xml:space="preserve"> </w:t>
      </w:r>
      <w:r>
        <w:t xml:space="preserve">Portugal.</w:t>
      </w:r>
      <w:r>
        <w:t xml:space="preserve"> </w:t>
      </w:r>
      <w:r>
        <w:t xml:space="preserve">The</w:t>
      </w:r>
      <w:r>
        <w:t xml:space="preserve"> </w:t>
      </w:r>
      <w:r>
        <w:t xml:space="preserve">earliest</w:t>
      </w:r>
      <w:r>
        <w:t xml:space="preserve"> </w:t>
      </w:r>
      <w:r>
        <w:t xml:space="preserve">evidence</w:t>
      </w:r>
      <w:r>
        <w:t xml:space="preserve"> </w:t>
      </w:r>
      <w:r>
        <w:t xml:space="preserve">of</w:t>
      </w:r>
      <w:r>
        <w:t xml:space="preserve"> </w:t>
      </w:r>
      <w:r>
        <w:t xml:space="preserve">settlement,</w:t>
      </w:r>
      <w:r>
        <w:t xml:space="preserve"> </w:t>
      </w:r>
      <w:r>
        <w:t xml:space="preserve">from</w:t>
      </w:r>
      <w:r>
        <w:t xml:space="preserve"> </w:t>
      </w:r>
      <w:r>
        <w:t xml:space="preserve">the</w:t>
      </w:r>
      <w:r>
        <w:t xml:space="preserve"> </w:t>
      </w:r>
      <w:r>
        <w:t xml:space="preserve">Late</w:t>
      </w:r>
      <w:r>
        <w:t xml:space="preserve"> </w:t>
      </w:r>
      <w:r>
        <w:t xml:space="preserve">Bronze</w:t>
      </w:r>
      <w:r>
        <w:t xml:space="preserve"> </w:t>
      </w:r>
      <w:r>
        <w:t xml:space="preserve">Age,</w:t>
      </w:r>
      <w:r>
        <w:t xml:space="preserve"> </w:t>
      </w:r>
      <w:r>
        <w:t xml:space="preserve">dates</w:t>
      </w:r>
      <w:r>
        <w:t xml:space="preserve"> </w:t>
      </w:r>
      <w:r>
        <w:t xml:space="preserve">to</w:t>
      </w:r>
      <w:r>
        <w:t xml:space="preserve"> </w:t>
      </w:r>
      <w:r>
        <w:t xml:space="preserve">the</w:t>
      </w:r>
      <w:r>
        <w:t xml:space="preserve"> </w:t>
      </w:r>
      <w:r>
        <w:t xml:space="preserve">9</w:t>
      </w:r>
      <w:r>
        <w:rPr>
          <w:vertAlign w:val="superscript"/>
        </w:rPr>
        <w:t xml:space="preserve">th</w:t>
      </w:r>
      <w:r>
        <w:t xml:space="preserve"> </w:t>
      </w:r>
      <w:r>
        <w:t xml:space="preserve">century</w:t>
      </w:r>
      <w:r>
        <w:t xml:space="preserve"> </w:t>
      </w:r>
      <w:r>
        <w:t xml:space="preserve">BCE,</w:t>
      </w:r>
      <w:r>
        <w:t xml:space="preserve"> </w:t>
      </w:r>
      <w:r>
        <w:t xml:space="preserve">with</w:t>
      </w:r>
      <w:r>
        <w:t xml:space="preserve"> </w:t>
      </w:r>
      <w:r>
        <w:t xml:space="preserve">the</w:t>
      </w:r>
      <w:r>
        <w:t xml:space="preserve"> </w:t>
      </w:r>
      <w:r>
        <w:t xml:space="preserve">Phoenician-Punic</w:t>
      </w:r>
      <w:r>
        <w:t xml:space="preserve"> </w:t>
      </w:r>
      <w:r>
        <w:t xml:space="preserve">period</w:t>
      </w:r>
      <w:r>
        <w:t xml:space="preserve"> </w:t>
      </w:r>
      <w:r>
        <w:t xml:space="preserve">dating</w:t>
      </w:r>
      <w:r>
        <w:t xml:space="preserve"> </w:t>
      </w:r>
      <w:r>
        <w:t xml:space="preserve">from</w:t>
      </w:r>
      <w:r>
        <w:t xml:space="preserve"> </w:t>
      </w:r>
      <w:r>
        <w:t xml:space="preserve">the</w:t>
      </w:r>
      <w:r>
        <w:t xml:space="preserve"> </w:t>
      </w:r>
      <w:r>
        <w:t xml:space="preserve">7</w:t>
      </w:r>
      <w:r>
        <w:rPr>
          <w:vertAlign w:val="superscript"/>
        </w:rPr>
        <w:t xml:space="preserve">th</w:t>
      </w:r>
      <w:r>
        <w:t xml:space="preserve"> </w:t>
      </w:r>
      <w:r>
        <w:t xml:space="preserve">to</w:t>
      </w:r>
      <w:r>
        <w:t xml:space="preserve"> </w:t>
      </w:r>
      <w:r>
        <w:t xml:space="preserve">the</w:t>
      </w:r>
      <w:r>
        <w:t xml:space="preserve"> </w:t>
      </w:r>
      <w:r>
        <w:t xml:space="preserve">3</w:t>
      </w:r>
      <w:r>
        <w:rPr>
          <w:vertAlign w:val="superscript"/>
        </w:rPr>
        <w:t xml:space="preserve">rd</w:t>
      </w:r>
      <w:r>
        <w:t xml:space="preserve"> </w:t>
      </w:r>
      <w:r>
        <w:t xml:space="preserve">century</w:t>
      </w:r>
      <w:r>
        <w:t xml:space="preserve"> </w:t>
      </w:r>
      <w:r>
        <w:t xml:space="preserve">BCE.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the</w:t>
      </w:r>
      <w:r>
        <w:t xml:space="preserve"> </w:t>
      </w:r>
      <w:r>
        <w:t xml:space="preserve">stable</w:t>
      </w:r>
      <w:r>
        <w:t xml:space="preserve"> </w:t>
      </w:r>
      <w:r>
        <w:t xml:space="preserve">isotope</w:t>
      </w:r>
      <w:r>
        <w:t xml:space="preserve"> </w:t>
      </w:r>
      <w:r>
        <w:t xml:space="preserve">analysis</w:t>
      </w:r>
      <w:r>
        <w:t xml:space="preserve"> </w:t>
      </w:r>
      <w:r>
        <w:t xml:space="preserve">of</w:t>
      </w:r>
      <w:r>
        <w:t xml:space="preserve"> </w:t>
      </w:r>
      <w:r>
        <w:t xml:space="preserve">plant</w:t>
      </w:r>
      <w:r>
        <w:t xml:space="preserve"> </w:t>
      </w:r>
      <w:r>
        <w:t xml:space="preserve">and</w:t>
      </w:r>
      <w:r>
        <w:t xml:space="preserve"> </w:t>
      </w:r>
      <w:r>
        <w:t xml:space="preserve">collagen</w:t>
      </w:r>
      <w:r>
        <w:t xml:space="preserve"> </w:t>
      </w:r>
      <w:r>
        <w:t xml:space="preserve">of</w:t>
      </w:r>
      <w:r>
        <w:t xml:space="preserve"> </w:t>
      </w:r>
      <w:r>
        <w:t xml:space="preserve">faunal</w:t>
      </w:r>
      <w:r>
        <w:t xml:space="preserve"> </w:t>
      </w:r>
      <w:r>
        <w:t xml:space="preserve">remains</w:t>
      </w:r>
      <w:r>
        <w:t xml:space="preserve"> </w:t>
      </w:r>
      <w:r>
        <w:t xml:space="preserve">to</w:t>
      </w:r>
      <w:r>
        <w:t xml:space="preserve"> </w:t>
      </w:r>
      <w:r>
        <w:t xml:space="preserve">reconstruct</w:t>
      </w:r>
      <w:r>
        <w:t xml:space="preserve"> </w:t>
      </w:r>
      <w:r>
        <w:t xml:space="preserve">cultivation</w:t>
      </w:r>
      <w:r>
        <w:t xml:space="preserve"> </w:t>
      </w:r>
      <w:r>
        <w:t xml:space="preserve">and</w:t>
      </w:r>
      <w:r>
        <w:t xml:space="preserve"> </w:t>
      </w:r>
      <w:r>
        <w:t xml:space="preserve">husbandry</w:t>
      </w:r>
      <w:r>
        <w:t xml:space="preserve"> </w:t>
      </w:r>
      <w:r>
        <w:t xml:space="preserve">practices.</w:t>
      </w:r>
      <w:r>
        <w:t xml:space="preserve"> </w:t>
      </w:r>
      <w:r>
        <w:t xml:space="preserve">Barley</w:t>
      </w:r>
      <w:r>
        <w:t xml:space="preserve"> </w:t>
      </w:r>
      <w:r>
        <w:t xml:space="preserve">was</w:t>
      </w:r>
      <w:r>
        <w:t xml:space="preserve"> </w:t>
      </w:r>
      <w:r>
        <w:t xml:space="preserve">the</w:t>
      </w:r>
      <w:r>
        <w:t xml:space="preserve"> </w:t>
      </w:r>
      <w:r>
        <w:t xml:space="preserve">most</w:t>
      </w:r>
      <w:r>
        <w:t xml:space="preserve"> </w:t>
      </w:r>
      <w:r>
        <w:t xml:space="preserve">abundantly</w:t>
      </w:r>
      <w:r>
        <w:t xml:space="preserve"> </w:t>
      </w:r>
      <w:r>
        <w:t xml:space="preserve">cultivated</w:t>
      </w:r>
      <w:r>
        <w:t xml:space="preserve"> </w:t>
      </w:r>
      <w:r>
        <w:t xml:space="preserve">cereal</w:t>
      </w:r>
      <w:r>
        <w:t xml:space="preserve"> </w:t>
      </w:r>
      <w:r>
        <w:t xml:space="preserve">crop.</w:t>
      </w:r>
      <w:r>
        <w:t xml:space="preserve"> </w:t>
      </w:r>
      <w:r>
        <w:t xml:space="preserve">The</w:t>
      </w:r>
      <w:r>
        <w:t xml:space="preserve"> </w:t>
      </w:r>
      <w:r>
        <w:t xml:space="preserve">stable</w:t>
      </w:r>
      <w:r>
        <w:t xml:space="preserve"> </w:t>
      </w:r>
      <w:r>
        <w:t xml:space="preserve">isotope</w:t>
      </w:r>
      <w:r>
        <w:t xml:space="preserve"> </w:t>
      </w:r>
      <w:r>
        <w:t xml:space="preserve">results</w:t>
      </w:r>
      <w:r>
        <w:t xml:space="preserve"> </w:t>
      </w:r>
      <w:r>
        <w:t xml:space="preserve">of</w:t>
      </w:r>
      <w:r>
        <w:t xml:space="preserve"> </w:t>
      </w:r>
      <w:r>
        <w:t xml:space="preserve">barley</w:t>
      </w:r>
      <w:r>
        <w:t xml:space="preserve"> </w:t>
      </w:r>
      <w:r>
        <w:t xml:space="preserve">indicate</w:t>
      </w:r>
      <w:r>
        <w:t xml:space="preserve"> </w:t>
      </w:r>
      <w:r>
        <w:t xml:space="preserve">that</w:t>
      </w:r>
      <w:r>
        <w:t xml:space="preserve"> </w:t>
      </w:r>
      <w:r>
        <w:t xml:space="preserve">the</w:t>
      </w:r>
      <w:r>
        <w:t xml:space="preserve"> </w:t>
      </w:r>
      <w:r>
        <w:t xml:space="preserve">primary</w:t>
      </w:r>
      <w:r>
        <w:t xml:space="preserve"> </w:t>
      </w:r>
      <w:r>
        <w:t xml:space="preserve">source</w:t>
      </w:r>
      <w:r>
        <w:t xml:space="preserve"> </w:t>
      </w:r>
      <w:r>
        <w:t xml:space="preserve">of</w:t>
      </w:r>
      <w:r>
        <w:t xml:space="preserve"> </w:t>
      </w:r>
      <w:r>
        <w:t xml:space="preserve">water</w:t>
      </w:r>
      <w:r>
        <w:t xml:space="preserve"> </w:t>
      </w:r>
      <w:r>
        <w:t xml:space="preserve">was</w:t>
      </w:r>
      <w:r>
        <w:t xml:space="preserve"> </w:t>
      </w:r>
      <w:r>
        <w:t xml:space="preserve">natural</w:t>
      </w:r>
      <w:r>
        <w:t xml:space="preserve"> </w:t>
      </w:r>
      <w:r>
        <w:t xml:space="preserve">precipitation</w:t>
      </w:r>
      <w:r>
        <w:t xml:space="preserve"> </w:t>
      </w:r>
      <w:r>
        <w:t xml:space="preserve">and</w:t>
      </w:r>
      <w:r>
        <w:t xml:space="preserve"> </w:t>
      </w:r>
      <w:r>
        <w:t xml:space="preserve">the</w:t>
      </w:r>
      <w:r>
        <w:t xml:space="preserve"> </w:t>
      </w:r>
      <w:r>
        <w:t xml:space="preserve">soil</w:t>
      </w:r>
      <w:r>
        <w:t xml:space="preserve"> </w:t>
      </w:r>
      <w:r>
        <w:t xml:space="preserve">nitrogen</w:t>
      </w:r>
      <w:r>
        <w:t xml:space="preserve"> </w:t>
      </w:r>
      <w:r>
        <w:t xml:space="preserve">was</w:t>
      </w:r>
      <w:r>
        <w:t xml:space="preserve"> </w:t>
      </w:r>
      <w:r>
        <w:t xml:space="preserve">enriched</w:t>
      </w:r>
      <w:r>
        <w:t xml:space="preserve"> </w:t>
      </w:r>
      <w:r>
        <w:t xml:space="preserve">through</w:t>
      </w:r>
      <w:r>
        <w:t xml:space="preserve"> </w:t>
      </w:r>
      <w:r>
        <w:t xml:space="preserve">manuring.</w:t>
      </w:r>
      <w:r>
        <w:t xml:space="preserve"> </w:t>
      </w:r>
      <w:r>
        <w:t xml:space="preserve">The</w:t>
      </w:r>
      <w:r>
        <w:t xml:space="preserve"> </w:t>
      </w:r>
      <w:r>
        <w:t xml:space="preserve">differences</w:t>
      </w:r>
      <w:r>
        <w:t xml:space="preserve"> </w:t>
      </w:r>
      <w:r>
        <w:t xml:space="preserve">from</w:t>
      </w:r>
      <w:r>
        <w:t xml:space="preserve"> </w:t>
      </w:r>
      <w:r>
        <w:t xml:space="preserve">stable</w:t>
      </w:r>
      <w:r>
        <w:t xml:space="preserve"> </w:t>
      </w:r>
      <w:r>
        <w:t xml:space="preserve">isotope</w:t>
      </w:r>
      <w:r>
        <w:t xml:space="preserve"> </w:t>
      </w:r>
      <w:r>
        <w:t xml:space="preserve">data</w:t>
      </w:r>
      <w:r>
        <w:t xml:space="preserve"> </w:t>
      </w:r>
      <w:r>
        <w:t xml:space="preserve">of</w:t>
      </w:r>
      <w:r>
        <w:t xml:space="preserve"> </w:t>
      </w:r>
      <w:r>
        <w:t xml:space="preserve">domesticated</w:t>
      </w:r>
      <w:r>
        <w:t xml:space="preserve"> </w:t>
      </w:r>
      <w:r>
        <w:t xml:space="preserve">fauna</w:t>
      </w:r>
      <w:r>
        <w:t xml:space="preserve"> </w:t>
      </w:r>
      <w:r>
        <w:t xml:space="preserve">indicate</w:t>
      </w:r>
      <w:r>
        <w:t xml:space="preserve"> </w:t>
      </w:r>
      <w:r>
        <w:t xml:space="preserve">a</w:t>
      </w:r>
      <w:r>
        <w:t xml:space="preserve"> </w:t>
      </w:r>
      <w:r>
        <w:t xml:space="preserve">diverse</w:t>
      </w:r>
      <w:r>
        <w:t xml:space="preserve"> </w:t>
      </w:r>
      <w:r>
        <w:t xml:space="preserve">management</w:t>
      </w:r>
      <w:r>
        <w:t xml:space="preserve"> </w:t>
      </w:r>
      <w:r>
        <w:t xml:space="preserve">strategy</w:t>
      </w:r>
      <w:r>
        <w:t xml:space="preserve"> </w:t>
      </w:r>
      <w:r>
        <w:t xml:space="preserve">for</w:t>
      </w:r>
      <w:r>
        <w:t xml:space="preserve"> </w:t>
      </w:r>
      <w:r>
        <w:t xml:space="preserve">different</w:t>
      </w:r>
      <w:r>
        <w:t xml:space="preserve"> </w:t>
      </w:r>
      <w:r>
        <w:t xml:space="preserve">species</w:t>
      </w:r>
      <w:r>
        <w:t xml:space="preserve"> </w:t>
      </w:r>
      <w:r>
        <w:t xml:space="preserve">based</w:t>
      </w:r>
      <w:r>
        <w:t xml:space="preserve"> </w:t>
      </w:r>
      <w:r>
        <w:t xml:space="preserve">on</w:t>
      </w:r>
      <w:r>
        <w:t xml:space="preserve"> </w:t>
      </w:r>
      <w:r>
        <w:t xml:space="preserve">their</w:t>
      </w:r>
      <w:r>
        <w:t xml:space="preserve"> </w:t>
      </w:r>
      <w:r>
        <w:t xml:space="preserve">economic</w:t>
      </w:r>
      <w:r>
        <w:t xml:space="preserve"> </w:t>
      </w:r>
      <w:r>
        <w:t xml:space="preserve">importance</w:t>
      </w:r>
      <w:r>
        <w:t xml:space="preserve"> </w:t>
      </w:r>
      <w:r>
        <w:t xml:space="preserve">to</w:t>
      </w:r>
      <w:r>
        <w:t xml:space="preserve"> </w:t>
      </w:r>
      <w:r>
        <w:t xml:space="preserve">capitalize</w:t>
      </w:r>
      <w:r>
        <w:t xml:space="preserve"> </w:t>
      </w:r>
      <w:r>
        <w:t xml:space="preserve">from</w:t>
      </w:r>
      <w:r>
        <w:t xml:space="preserve"> </w:t>
      </w:r>
      <w:r>
        <w:t xml:space="preserve">the</w:t>
      </w:r>
      <w:r>
        <w:t xml:space="preserve"> </w:t>
      </w:r>
      <w:r>
        <w:t xml:space="preserve">animal</w:t>
      </w:r>
      <w:r>
        <w:t xml:space="preserve"> </w:t>
      </w:r>
      <w:r>
        <w:t xml:space="preserve">by-products</w:t>
      </w:r>
      <w:r>
        <w:t xml:space="preserve"> </w:t>
      </w:r>
      <w:r>
        <w:t xml:space="preserve">such</w:t>
      </w:r>
      <w:r>
        <w:t xml:space="preserve"> </w:t>
      </w:r>
      <w:r>
        <w:t xml:space="preserve">as</w:t>
      </w:r>
      <w:r>
        <w:t xml:space="preserve"> </w:t>
      </w:r>
      <w:r>
        <w:t xml:space="preserve">wool</w:t>
      </w:r>
      <w:r>
        <w:t xml:space="preserve"> </w:t>
      </w:r>
      <w:r>
        <w:t xml:space="preserve">and</w:t>
      </w:r>
      <w:r>
        <w:t xml:space="preserve"> </w:t>
      </w:r>
      <w:r>
        <w:t xml:space="preserve">dairy</w:t>
      </w:r>
      <w:r>
        <w:t xml:space="preserve"> </w:t>
      </w:r>
      <w:r>
        <w:t xml:space="preserve">products.</w:t>
      </w:r>
    </w:p>
    <w:p>
      <w:pPr>
        <w:pStyle w:val="FirstParagraph"/>
      </w:pPr>
      <w:r>
        <w:rPr>
          <w:vertAlign w:val="superscript"/>
        </w:rPr>
        <w:t xml:space="preserve">1</w:t>
      </w:r>
      <w:r>
        <w:t xml:space="preserve"> </w:t>
      </w:r>
      <w:r>
        <w:t xml:space="preserve">Max Planck Institute for Evolutionary Anthropology, Deutscher Platz 6, Leipzig, Germany</w:t>
      </w:r>
      <w:r>
        <w:br/>
      </w:r>
      <w:r>
        <w:rPr>
          <w:vertAlign w:val="superscript"/>
        </w:rPr>
        <w:t xml:space="preserve">2</w:t>
      </w:r>
      <w:r>
        <w:t xml:space="preserve"> </w:t>
      </w:r>
      <w:r>
        <w:t xml:space="preserve">Dipartimento di Biologia Ambientale, Sapienza Università di Roma, Piazzale A. Moro 5, 00185 Roma, Italy</w:t>
      </w:r>
      <w:r>
        <w:br/>
      </w:r>
      <w:r>
        <w:rPr>
          <w:vertAlign w:val="superscript"/>
        </w:rPr>
        <w:t xml:space="preserve">3</w:t>
      </w:r>
      <w:r>
        <w:t xml:space="preserve"> </w:t>
      </w:r>
      <w:r>
        <w:t xml:space="preserve">Max Planck Institute of Geoanthropology, Kahlaische Str. 10, Jena, Germany</w:t>
      </w:r>
      <w:r>
        <w:br/>
      </w:r>
      <w:r>
        <w:rPr>
          <w:vertAlign w:val="superscript"/>
        </w:rPr>
        <w:t xml:space="preserve">4</w:t>
      </w:r>
      <w:r>
        <w:t xml:space="preserve"> </w:t>
      </w:r>
      <w:r>
        <w:t xml:space="preserve">Centro de Arqueologia da Universidade de Lisboa, Lisbon, Portugal</w:t>
      </w:r>
      <w:r>
        <w:br/>
      </w:r>
      <w:r>
        <w:rPr>
          <w:vertAlign w:val="superscript"/>
        </w:rPr>
        <w:t xml:space="preserve">5</w:t>
      </w:r>
      <w:r>
        <w:t xml:space="preserve"> </w:t>
      </w:r>
      <w:r>
        <w:t xml:space="preserve">Laboratório HERCULES, Universidade de Évora, Évora, Portugal</w:t>
      </w:r>
      <w:r>
        <w:br/>
      </w:r>
      <w:r>
        <w:rPr>
          <w:vertAlign w:val="superscript"/>
        </w:rPr>
        <w:t xml:space="preserve">6</w:t>
      </w:r>
      <w:r>
        <w:t xml:space="preserve"> </w:t>
      </w:r>
      <w:r>
        <w:t xml:space="preserve">Departamento de Química, Colégio Luís Verney, Rua Romão Ramalho 59, Évora, Portugal</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Roshan Paladugu &lt;</w:t>
        </w:r>
        <w:hyperlink r:id="rId20">
          <w:r>
            <w:rPr>
              <w:rStyle w:val="Hyperlink"/>
            </w:rPr>
            <w:t xml:space="preserve">roshan_paladugu@eva.mpg.de</w:t>
          </w:r>
        </w:hyperlink>
        <w:r>
          <w:rPr>
            <w:rStyle w:val="Hyperlink"/>
          </w:rPr>
          <w:t xml:space="preserve">&gt;</w:t>
        </w:r>
      </w:hyperlink>
    </w:p>
    <w:bookmarkStart w:id="21" w:name="introduction"/>
    <w:p>
      <w:pPr>
        <w:pStyle w:val="Heading1"/>
      </w:pPr>
      <w:r>
        <w:rPr>
          <w:rStyle w:val="SectionNumber"/>
        </w:rPr>
        <w:t xml:space="preserve">1</w:t>
      </w:r>
      <w:r>
        <w:tab/>
      </w:r>
      <w:r>
        <w:t xml:space="preserve">Introduction</w:t>
      </w:r>
    </w:p>
    <w:p>
      <w:pPr>
        <w:pStyle w:val="FirstParagraph"/>
      </w:pPr>
      <w:r>
        <w:t xml:space="preserve">The southern Portuguese coast experienced extensive colonization by the Phoenicians, a culturally homogeneous group of politically independent city-states from the Near East, during the 9th century BCE. Their settlements, originating from the Levant (modern-day Lebanon), were part of a broader westward expansion driven by the need for metalliferous resources</w:t>
      </w:r>
      <w:r>
        <w:t xml:space="preserve"> </w:t>
      </w:r>
      <w:r>
        <w:t xml:space="preserve">(</w:t>
      </w:r>
      <w:hyperlink w:anchor="ref-aubet87">
        <w:r>
          <w:rPr>
            <w:rStyle w:val="Hyperlink"/>
          </w:rPr>
          <w:t xml:space="preserve">Aubet, 1987</w:t>
        </w:r>
      </w:hyperlink>
      <w:r>
        <w:t xml:space="preserve">,</w:t>
      </w:r>
      <w:r>
        <w:t xml:space="preserve"> </w:t>
      </w:r>
      <w:hyperlink w:anchor="ref-aubet87">
        <w:r>
          <w:rPr>
            <w:rStyle w:val="Hyperlink"/>
          </w:rPr>
          <w:t xml:space="preserve">1987</w:t>
        </w:r>
      </w:hyperlink>
      <w:r>
        <w:t xml:space="preserve">,</w:t>
      </w:r>
      <w:r>
        <w:t xml:space="preserve"> </w:t>
      </w:r>
      <w:hyperlink w:anchor="ref-aubet01">
        <w:r>
          <w:rPr>
            <w:rStyle w:val="Hyperlink"/>
          </w:rPr>
          <w:t xml:space="preserve">2001</w:t>
        </w:r>
      </w:hyperlink>
      <w:r>
        <w:t xml:space="preserve">;</w:t>
      </w:r>
      <w:r>
        <w:t xml:space="preserve"> </w:t>
      </w:r>
      <w:hyperlink w:anchor="ref-markoe05">
        <w:r>
          <w:rPr>
            <w:rStyle w:val="Hyperlink"/>
          </w:rPr>
          <w:t xml:space="preserve">Markoe, 2005</w:t>
        </w:r>
      </w:hyperlink>
      <w:r>
        <w:t xml:space="preserve">;</w:t>
      </w:r>
      <w:r>
        <w:t xml:space="preserve"> </w:t>
      </w:r>
      <w:hyperlink w:anchor="ref-arruda09">
        <w:r>
          <w:rPr>
            <w:rStyle w:val="Hyperlink"/>
          </w:rPr>
          <w:t xml:space="preserve">Arruda, 2009</w:t>
        </w:r>
      </w:hyperlink>
      <w:r>
        <w:t xml:space="preserve">;</w:t>
      </w:r>
      <w:r>
        <w:t xml:space="preserve"> </w:t>
      </w:r>
      <w:hyperlink w:anchor="ref-dietler09">
        <w:r>
          <w:rPr>
            <w:rStyle w:val="Hyperlink"/>
          </w:rPr>
          <w:t xml:space="preserve">Dietler, 2009</w:t>
        </w:r>
      </w:hyperlink>
      <w:r>
        <w:t xml:space="preserve">;</w:t>
      </w:r>
      <w:r>
        <w:t xml:space="preserve"> </w:t>
      </w:r>
      <w:hyperlink w:anchor="ref-gomes_arruda18">
        <w:r>
          <w:rPr>
            <w:rStyle w:val="Hyperlink"/>
          </w:rPr>
          <w:t xml:space="preserve">Gomes and Arruda, 2018</w:t>
        </w:r>
      </w:hyperlink>
      <w:r>
        <w:t xml:space="preserve">;</w:t>
      </w:r>
      <w:r>
        <w:t xml:space="preserve"> </w:t>
      </w:r>
      <w:hyperlink w:anchor="ref-eshel_etal19">
        <w:r>
          <w:rPr>
            <w:rStyle w:val="Hyperlink"/>
          </w:rPr>
          <w:t xml:space="preserve">Eshel et al., 2019</w:t>
        </w:r>
      </w:hyperlink>
      <w:r>
        <w:t xml:space="preserve">;</w:t>
      </w:r>
      <w:r>
        <w:t xml:space="preserve"> </w:t>
      </w:r>
      <w:hyperlink w:anchor="ref-quinn19">
        <w:r>
          <w:rPr>
            <w:rStyle w:val="Hyperlink"/>
          </w:rPr>
          <w:t xml:space="preserve">Quinn, 2019</w:t>
        </w:r>
      </w:hyperlink>
      <w:r>
        <w:t xml:space="preserve">)</w:t>
      </w:r>
      <w:r>
        <w:t xml:space="preserve">. Phoenicians, through the establishment of agreements and negotiations with the native communities, mined the Iberian Pyrite belt for silver, tin, lead, and copper in the early 8</w:t>
      </w:r>
      <w:r>
        <w:rPr>
          <w:vertAlign w:val="superscript"/>
        </w:rPr>
        <w:t xml:space="preserve">th</w:t>
      </w:r>
      <w:r>
        <w:t xml:space="preserve"> </w:t>
      </w:r>
      <w:r>
        <w:t xml:space="preserve">century BCE</w:t>
      </w:r>
      <w:r>
        <w:t xml:space="preserve"> </w:t>
      </w:r>
      <w:r>
        <w:t xml:space="preserve">(</w:t>
      </w:r>
      <w:hyperlink w:anchor="ref-renzi_etal12">
        <w:r>
          <w:rPr>
            <w:rStyle w:val="Hyperlink"/>
          </w:rPr>
          <w:t xml:space="preserve">Renzi et al., 2012</w:t>
        </w:r>
      </w:hyperlink>
      <w:r>
        <w:t xml:space="preserve">;</w:t>
      </w:r>
      <w:r>
        <w:t xml:space="preserve"> </w:t>
      </w:r>
      <w:hyperlink w:anchor="ref-eshel_etal19">
        <w:r>
          <w:rPr>
            <w:rStyle w:val="Hyperlink"/>
          </w:rPr>
          <w:t xml:space="preserve">Eshel et al., 2019</w:t>
        </w:r>
      </w:hyperlink>
      <w:r>
        <w:t xml:space="preserve">;</w:t>
      </w:r>
      <w:r>
        <w:t xml:space="preserve"> </w:t>
      </w:r>
      <w:hyperlink w:anchor="ref-wood_etal19">
        <w:r>
          <w:rPr>
            <w:rStyle w:val="Hyperlink"/>
          </w:rPr>
          <w:t xml:space="preserve">Wood et al., 2019</w:t>
        </w:r>
      </w:hyperlink>
      <w:r>
        <w:t xml:space="preserve">)</w:t>
      </w:r>
      <w:r>
        <w:t xml:space="preserve">. The intense and prolonged settlements along the Southern Portuguese coast cannot simply be explained by the quest for mineral sources, primarily because a considerable part of them are situated in locations with neither metallogenic minerals nor pre-existing indigenous settlements. Other factors influencing settlement density include agricultural resources</w:t>
      </w:r>
      <w:r>
        <w:t xml:space="preserve"> </w:t>
      </w:r>
      <w:r>
        <w:t xml:space="preserve">(</w:t>
      </w:r>
      <w:hyperlink w:anchor="ref-wagner_alvar89">
        <w:r>
          <w:rPr>
            <w:rStyle w:val="Hyperlink"/>
          </w:rPr>
          <w:t xml:space="preserve">Wagner and Alvar, 1989</w:t>
        </w:r>
      </w:hyperlink>
      <w:r>
        <w:t xml:space="preserve">;</w:t>
      </w:r>
      <w:r>
        <w:t xml:space="preserve"> </w:t>
      </w:r>
      <w:hyperlink w:anchor="ref-wagner_alvar03">
        <w:r>
          <w:rPr>
            <w:rStyle w:val="Hyperlink"/>
          </w:rPr>
          <w:t xml:space="preserve">Wagner and Alvar, 2003</w:t>
        </w:r>
      </w:hyperlink>
      <w:r>
        <w:t xml:space="preserve">)</w:t>
      </w:r>
      <w:r>
        <w:t xml:space="preserve">, exploitation of marine resources, such as salt</w:t>
      </w:r>
      <w:r>
        <w:t xml:space="preserve"> </w:t>
      </w:r>
      <w:r>
        <w:t xml:space="preserve">(</w:t>
      </w:r>
      <w:hyperlink w:anchor="ref-manfredi92">
        <w:r>
          <w:rPr>
            <w:rStyle w:val="Hyperlink"/>
          </w:rPr>
          <w:t xml:space="preserve">Manfredi, 1992</w:t>
        </w:r>
      </w:hyperlink>
      <w:r>
        <w:t xml:space="preserve">)</w:t>
      </w:r>
      <w:r>
        <w:t xml:space="preserve"> </w:t>
      </w:r>
      <w:r>
        <w:t xml:space="preserve">and Tyrrhenian Purple</w:t>
      </w:r>
      <w:r>
        <w:t xml:space="preserve"> </w:t>
      </w:r>
      <w:r>
        <w:t xml:space="preserve">(</w:t>
      </w:r>
      <w:hyperlink w:anchor="ref-uriel00">
        <w:r>
          <w:rPr>
            <w:rStyle w:val="Hyperlink"/>
          </w:rPr>
          <w:t xml:space="preserve">Uriel, 2000</w:t>
        </w:r>
      </w:hyperlink>
      <w:r>
        <w:t xml:space="preserve">)</w:t>
      </w:r>
      <w:r>
        <w:t xml:space="preserve">, timber</w:t>
      </w:r>
      <w:r>
        <w:t xml:space="preserve"> </w:t>
      </w:r>
      <w:r>
        <w:t xml:space="preserve">(</w:t>
      </w:r>
      <w:hyperlink w:anchor="ref-treumann98">
        <w:r>
          <w:rPr>
            <w:rStyle w:val="Hyperlink"/>
          </w:rPr>
          <w:t xml:space="preserve">Treumann, 1998</w:t>
        </w:r>
      </w:hyperlink>
      <w:r>
        <w:t xml:space="preserve">,</w:t>
      </w:r>
      <w:r>
        <w:t xml:space="preserve"> </w:t>
      </w:r>
      <w:hyperlink w:anchor="ref-treumann09">
        <w:r>
          <w:rPr>
            <w:rStyle w:val="Hyperlink"/>
          </w:rPr>
          <w:t xml:space="preserve">2009</w:t>
        </w:r>
      </w:hyperlink>
      <w:r>
        <w:t xml:space="preserve">)</w:t>
      </w:r>
      <w:r>
        <w:t xml:space="preserve">, and labor force</w:t>
      </w:r>
      <w:r>
        <w:t xml:space="preserve"> </w:t>
      </w:r>
      <w:r>
        <w:t xml:space="preserve">(</w:t>
      </w:r>
      <w:hyperlink w:anchor="ref-arrastio99">
        <w:r>
          <w:rPr>
            <w:rStyle w:val="Hyperlink"/>
          </w:rPr>
          <w:t xml:space="preserve">Arrastio, 1999</w:t>
        </w:r>
      </w:hyperlink>
      <w:r>
        <w:t xml:space="preserve">,</w:t>
      </w:r>
      <w:r>
        <w:t xml:space="preserve"> </w:t>
      </w:r>
      <w:hyperlink w:anchor="ref-arrastio00">
        <w:r>
          <w:rPr>
            <w:rStyle w:val="Hyperlink"/>
          </w:rPr>
          <w:t xml:space="preserve">2000</w:t>
        </w:r>
      </w:hyperlink>
      <w:r>
        <w:t xml:space="preserve">)</w:t>
      </w:r>
      <w:r>
        <w:t xml:space="preserve">. Agriculture appears to have played a crucial role in sustaining Phoenician communities along the southern Portuguese coast, particularly in ensuring stable food supplies to support both the population and industrial activities due to the region’s natural fertility and rich mineral veins</w:t>
      </w:r>
      <w:r>
        <w:t xml:space="preserve"> </w:t>
      </w:r>
      <w:r>
        <w:t xml:space="preserve">(</w:t>
      </w:r>
      <w:hyperlink w:anchor="ref-neville98">
        <w:r>
          <w:rPr>
            <w:rStyle w:val="Hyperlink"/>
          </w:rPr>
          <w:t xml:space="preserve">Neville, 1998</w:t>
        </w:r>
      </w:hyperlink>
      <w:r>
        <w:t xml:space="preserve">;</w:t>
      </w:r>
      <w:r>
        <w:t xml:space="preserve"> </w:t>
      </w:r>
      <w:hyperlink w:anchor="ref-arruda03">
        <w:r>
          <w:rPr>
            <w:rStyle w:val="Hyperlink"/>
          </w:rPr>
          <w:t xml:space="preserve">Arruda, 2003</w:t>
        </w:r>
      </w:hyperlink>
      <w:r>
        <w:t xml:space="preserve">,</w:t>
      </w:r>
      <w:r>
        <w:t xml:space="preserve"> </w:t>
      </w:r>
      <w:hyperlink w:anchor="ref-arruda09">
        <w:r>
          <w:rPr>
            <w:rStyle w:val="Hyperlink"/>
          </w:rPr>
          <w:t xml:space="preserve">2009</w:t>
        </w:r>
      </w:hyperlink>
      <w:r>
        <w:t xml:space="preserve">;</w:t>
      </w:r>
      <w:r>
        <w:t xml:space="preserve"> </w:t>
      </w:r>
      <w:hyperlink w:anchor="ref-roller14">
        <w:r>
          <w:rPr>
            <w:rStyle w:val="Hyperlink"/>
          </w:rPr>
          <w:t xml:space="preserve">Roller, 2014</w:t>
        </w:r>
      </w:hyperlink>
      <w:r>
        <w:t xml:space="preserve">)</w:t>
      </w:r>
      <w:r>
        <w:t xml:space="preserve">. The Phoenician traders had to ensure stable sources of food for the population in addition to their industrial activities. While the Phoenician metal exploitation perspective has been studied, the agricultural aspects have comparatively received little attention so far.</w:t>
      </w:r>
    </w:p>
    <w:p>
      <w:pPr>
        <w:pStyle w:val="BodyText"/>
      </w:pPr>
      <w:r>
        <w:t xml:space="preserve">This study seeks to illuminate the farming strategies and animal husbandry practices during the Phoenician-Punic period in Portugal, focusing specifically on Castro Marim. By integrating traditional zooarchaeological and archaeobotanical analyses with advanced botanical studies, stable isotope analysis, and Zooarchaeology by Mass Spectrometry (ZooMS), we aim to deepen our understanding of the agricultural systems that supported Phoenician settlements. Previous studies of Phoenician agriculture have largely centered on zooarchaeological and archaeobotanical approaches, offering valuable insights into the introduction of new plant species, arboreal exploitation, meat consumption, hunting patterns, animal preferences, and the use of secondary animal products. While these traditional methods provide essential context, modern molecular techniques are now crucial for refining these findings and broadening our analytical scope, allowing for a more detailed picture of Phoenician agricultural practices.</w:t>
      </w:r>
    </w:p>
    <w:p>
      <w:pPr>
        <w:pStyle w:val="BodyText"/>
      </w:pPr>
      <w:r>
        <w:t xml:space="preserve">The primary objectives of this study are to identify both cultivated and wild plant species and reconstruct ancient crop management strategies through stable carbon and nitrogen isotope analysis, shedding light on irrigation practices and manuring regimes; and to investigate animal husbandry practices using ZooMS and stable isotope analysis of faunal bone collagen, focusing on carbon, nitrogen, and sulfur isotopes. The sulfur isotopes are a preliminary tool to trace the local vs non-local origins of the livestock, as Phoenician trade networks likely involved the transport of animals across the Mediterranean. To achieve these goals, macro-botanical analysis of charred plant remains was conducted to identify species used by the Phoenicians, and stable isotope analysis helped reconstruct agricultural techniques such as watering and fertilization. ZooMS, crucial for differentiating between morphologically similar species like sheep and goats, revealed distinct animal management strategies. By analyzing the δ</w:t>
      </w:r>
      <w:r>
        <w:rPr>
          <w:vertAlign w:val="superscript"/>
        </w:rPr>
        <w:t xml:space="preserve">13</w:t>
      </w:r>
      <w:r>
        <w:t xml:space="preserve">C and δ</w:t>
      </w:r>
      <w:r>
        <w:rPr>
          <w:vertAlign w:val="superscript"/>
        </w:rPr>
        <w:t xml:space="preserve">15</w:t>
      </w:r>
      <w:r>
        <w:t xml:space="preserve">N values of wild and domestic fauna, we established ecological baselines and uncovered evidence of foddering and herding practices. Additionally, sulfur isotope (δ</w:t>
      </w:r>
      <w:r>
        <w:rPr>
          <w:vertAlign w:val="superscript"/>
        </w:rPr>
        <w:t xml:space="preserve">34</w:t>
      </w:r>
      <w:r>
        <w:t xml:space="preserve">S) values provided insights into the mobility of livestock, distinguishing between local and non-local origins. This integrated approach improves the resolution of pre-existing research and tries to develop a comprehensive understanding of how Phoenician farming and husbandry practices.</w:t>
      </w:r>
    </w:p>
    <w:bookmarkEnd w:id="21"/>
    <w:bookmarkStart w:id="24" w:name="Xcaaa09b687aa46e24175a16faaa95bc26bf9e9c"/>
    <w:p>
      <w:pPr>
        <w:pStyle w:val="Heading1"/>
      </w:pPr>
      <w:r>
        <w:rPr>
          <w:rStyle w:val="SectionNumber"/>
        </w:rPr>
        <w:t xml:space="preserve">2</w:t>
      </w:r>
      <w:r>
        <w:tab/>
      </w:r>
      <w:r>
        <w:t xml:space="preserve">Principles of stable isotope analysis and ZooMS</w:t>
      </w:r>
    </w:p>
    <w:bookmarkStart w:id="22" w:name="zooms-analysis-of-ovicaprids"/>
    <w:p>
      <w:pPr>
        <w:pStyle w:val="Heading2"/>
      </w:pPr>
      <w:r>
        <w:rPr>
          <w:rStyle w:val="SectionNumber"/>
        </w:rPr>
        <w:t xml:space="preserve">2.1</w:t>
      </w:r>
      <w:r>
        <w:tab/>
      </w:r>
      <w:r>
        <w:t xml:space="preserve">ZooMS analysis of ovicaprids</w:t>
      </w:r>
    </w:p>
    <w:p>
      <w:pPr>
        <w:pStyle w:val="FirstParagraph"/>
      </w:pPr>
      <w:r>
        <w:t xml:space="preserve">Skeletal elements of goats and sheep are a common occurrence in archaeological contexts. A significant issue plaguing comparative husbandry studies between sheep and goats is the overlap of skeletal elements</w:t>
      </w:r>
      <w:r>
        <w:t xml:space="preserve"> </w:t>
      </w:r>
      <w:r>
        <w:t xml:space="preserve">(</w:t>
      </w:r>
      <w:hyperlink w:anchor="ref-boessneck_etal64">
        <w:r>
          <w:rPr>
            <w:rStyle w:val="Hyperlink"/>
          </w:rPr>
          <w:t xml:space="preserve">Boessneck et al., 1964</w:t>
        </w:r>
      </w:hyperlink>
      <w:r>
        <w:t xml:space="preserve">;</w:t>
      </w:r>
      <w:r>
        <w:t xml:space="preserve"> </w:t>
      </w:r>
      <w:hyperlink w:anchor="ref-schramm67">
        <w:r>
          <w:rPr>
            <w:rStyle w:val="Hyperlink"/>
          </w:rPr>
          <w:t xml:space="preserve">Schramm, 1967</w:t>
        </w:r>
      </w:hyperlink>
      <w:r>
        <w:t xml:space="preserve">;</w:t>
      </w:r>
      <w:r>
        <w:t xml:space="preserve"> </w:t>
      </w:r>
      <w:hyperlink w:anchor="ref-payne69">
        <w:r>
          <w:rPr>
            <w:rStyle w:val="Hyperlink"/>
          </w:rPr>
          <w:t xml:space="preserve">Payne, 1969</w:t>
        </w:r>
      </w:hyperlink>
      <w:r>
        <w:t xml:space="preserve">)</w:t>
      </w:r>
      <w:r>
        <w:t xml:space="preserve">. Zooarchaeology by mass spectrometry applies peptide mass fingerprinting to identify archaeological remains</w:t>
      </w:r>
      <w:r>
        <w:t xml:space="preserve"> </w:t>
      </w:r>
      <w:r>
        <w:t xml:space="preserve">(</w:t>
      </w:r>
      <w:hyperlink w:anchor="ref-buckley_etal09">
        <w:r>
          <w:rPr>
            <w:rStyle w:val="Hyperlink"/>
          </w:rPr>
          <w:t xml:space="preserve">Buckley et al., 2009</w:t>
        </w:r>
      </w:hyperlink>
      <w:r>
        <w:t xml:space="preserve">)</w:t>
      </w:r>
      <w:r>
        <w:t xml:space="preserve">. The main protein used for this is collagen, which is the most abundant protein in bone. Due to sequence differences in collagen of sheep and goat, ZooMS is able to differentiate between these two species, which is often not possible using standard morphological analysis</w:t>
      </w:r>
      <w:r>
        <w:t xml:space="preserve"> </w:t>
      </w:r>
      <w:r>
        <w:t xml:space="preserve">(</w:t>
      </w:r>
      <w:hyperlink w:anchor="ref-buckley_etal10">
        <w:r>
          <w:rPr>
            <w:rStyle w:val="Hyperlink"/>
          </w:rPr>
          <w:t xml:space="preserve">Buckley et al., 2010</w:t>
        </w:r>
      </w:hyperlink>
      <w:r>
        <w:t xml:space="preserve">)</w:t>
      </w:r>
      <w:r>
        <w:t xml:space="preserve">.</w:t>
      </w:r>
    </w:p>
    <w:bookmarkEnd w:id="22"/>
    <w:bookmarkStart w:id="23" w:name="Xae0d6807f7819efd75cd40ab89994d83cee4d4c"/>
    <w:p>
      <w:pPr>
        <w:pStyle w:val="Heading2"/>
      </w:pPr>
      <w:r>
        <w:rPr>
          <w:rStyle w:val="SectionNumber"/>
        </w:rPr>
        <w:t xml:space="preserve">2.2</w:t>
      </w:r>
      <w:r>
        <w:tab/>
      </w:r>
      <w:r>
        <w:t xml:space="preserve">Stable isotope analysis of plants and animals</w:t>
      </w:r>
    </w:p>
    <w:p>
      <w:pPr>
        <w:pStyle w:val="FirstParagraph"/>
      </w:pPr>
      <w:r>
        <w:t xml:space="preserve">Stable isotope (δ</w:t>
      </w:r>
      <w:r>
        <w:rPr>
          <w:vertAlign w:val="superscript"/>
        </w:rPr>
        <w:t xml:space="preserve">13</w:t>
      </w:r>
      <w:r>
        <w:t xml:space="preserve">C, and δ</w:t>
      </w:r>
      <w:r>
        <w:rPr>
          <w:vertAlign w:val="superscript"/>
        </w:rPr>
        <w:t xml:space="preserve">15</w:t>
      </w:r>
      <w:r>
        <w:t xml:space="preserve">N) analyses of faunal bone collagen are valuable means of reconstructing foddering practices and other animal husbandry aspects</w:t>
      </w:r>
      <w:r>
        <w:t xml:space="preserve"> </w:t>
      </w:r>
      <w:r>
        <w:t xml:space="preserve">(</w:t>
      </w:r>
      <w:hyperlink w:anchor="ref-price_etal17">
        <w:r>
          <w:rPr>
            <w:rStyle w:val="Hyperlink"/>
          </w:rPr>
          <w:t xml:space="preserve">Price et al., 2017</w:t>
        </w:r>
      </w:hyperlink>
      <w:r>
        <w:t xml:space="preserve">)</w:t>
      </w:r>
      <w:r>
        <w:t xml:space="preserve">. The variation in δ</w:t>
      </w:r>
      <w:r>
        <w:rPr>
          <w:vertAlign w:val="superscript"/>
        </w:rPr>
        <w:t xml:space="preserve">13</w:t>
      </w:r>
      <w:r>
        <w:t xml:space="preserve">C of terrestrial organisms is determined by the primary producers’ photosynthetic pathway, distinguished as C</w:t>
      </w:r>
      <w:r>
        <w:rPr>
          <w:vertAlign w:val="subscript"/>
        </w:rPr>
        <w:t xml:space="preserve">3</w:t>
      </w:r>
      <w:r>
        <w:t xml:space="preserve">, C</w:t>
      </w:r>
      <w:r>
        <w:rPr>
          <w:vertAlign w:val="subscript"/>
        </w:rPr>
        <w:t xml:space="preserve">4</w:t>
      </w:r>
      <w:r>
        <w:t xml:space="preserve">, and CAM plants</w:t>
      </w:r>
      <w:r>
        <w:t xml:space="preserve"> </w:t>
      </w:r>
      <w:r>
        <w:t xml:space="preserve">(</w:t>
      </w:r>
      <w:hyperlink w:anchor="ref-deniro_epstein78">
        <w:r>
          <w:rPr>
            <w:rStyle w:val="Hyperlink"/>
          </w:rPr>
          <w:t xml:space="preserve">DeNiro and Epstein, 1978</w:t>
        </w:r>
      </w:hyperlink>
      <w:r>
        <w:t xml:space="preserve">;</w:t>
      </w:r>
      <w:r>
        <w:t xml:space="preserve"> </w:t>
      </w:r>
      <w:hyperlink w:anchor="ref-farquhar_etal89">
        <w:r>
          <w:rPr>
            <w:rStyle w:val="Hyperlink"/>
          </w:rPr>
          <w:t xml:space="preserve">Farquhar et al., 1989</w:t>
        </w:r>
      </w:hyperlink>
      <w:r>
        <w:t xml:space="preserve">;</w:t>
      </w:r>
      <w:r>
        <w:t xml:space="preserve"> </w:t>
      </w:r>
      <w:hyperlink w:anchor="ref-tieszen91">
        <w:r>
          <w:rPr>
            <w:rStyle w:val="Hyperlink"/>
          </w:rPr>
          <w:t xml:space="preserve">Tieszen, 1991</w:t>
        </w:r>
      </w:hyperlink>
      <w:r>
        <w:t xml:space="preserve">;</w:t>
      </w:r>
      <w:r>
        <w:t xml:space="preserve"> </w:t>
      </w:r>
      <w:hyperlink w:anchor="ref-kohn10">
        <w:r>
          <w:rPr>
            <w:rStyle w:val="Hyperlink"/>
          </w:rPr>
          <w:t xml:space="preserve">Kohn, 2010</w:t>
        </w:r>
      </w:hyperlink>
      <w:r>
        <w:t xml:space="preserve">)</w:t>
      </w:r>
      <w:r>
        <w:t xml:space="preserve">. Plant species are overwhelmingly C</w:t>
      </w:r>
      <w:r>
        <w:rPr>
          <w:vertAlign w:val="subscript"/>
        </w:rPr>
        <w:t xml:space="preserve">3</w:t>
      </w:r>
      <w:r>
        <w:t xml:space="preserve"> </w:t>
      </w:r>
      <w:r>
        <w:t xml:space="preserve">in nature, including most cultivated plants such as barley, wheat, oats, and other wild edible plants</w:t>
      </w:r>
      <w:r>
        <w:t xml:space="preserve"> </w:t>
      </w:r>
      <w:r>
        <w:t xml:space="preserve">(</w:t>
      </w:r>
      <w:hyperlink w:anchor="ref-fernandez-crespo_etal19">
        <w:r>
          <w:rPr>
            <w:rStyle w:val="Hyperlink"/>
          </w:rPr>
          <w:t xml:space="preserve">Fernández-Crespo et al., 2019</w:t>
        </w:r>
      </w:hyperlink>
      <w:r>
        <w:t xml:space="preserve">)</w:t>
      </w:r>
      <w:r>
        <w:t xml:space="preserve">. C</w:t>
      </w:r>
      <w:r>
        <w:rPr>
          <w:vertAlign w:val="subscript"/>
        </w:rPr>
        <w:t xml:space="preserve">4</w:t>
      </w:r>
      <w:r>
        <w:t xml:space="preserve"> </w:t>
      </w:r>
      <w:r>
        <w:t xml:space="preserve">plants consist primarily of tropical grasses, millets, sugarcane, corn, and sorghum. C</w:t>
      </w:r>
      <w:r>
        <w:rPr>
          <w:vertAlign w:val="subscript"/>
        </w:rPr>
        <w:t xml:space="preserve">4</w:t>
      </w:r>
      <w:r>
        <w:t xml:space="preserve"> </w:t>
      </w:r>
      <w:r>
        <w:t xml:space="preserve">plants thrive in warm and high-temperature environments and thus are restricted to coastal zones in regions with temperate climates</w:t>
      </w:r>
      <w:r>
        <w:t xml:space="preserve"> </w:t>
      </w:r>
      <w:r>
        <w:t xml:space="preserve">(</w:t>
      </w:r>
      <w:hyperlink w:anchor="ref-leegood13">
        <w:r>
          <w:rPr>
            <w:rStyle w:val="Hyperlink"/>
          </w:rPr>
          <w:t xml:space="preserve">Leegood, 2013</w:t>
        </w:r>
      </w:hyperlink>
      <w:r>
        <w:t xml:space="preserve">;</w:t>
      </w:r>
      <w:r>
        <w:t xml:space="preserve"> </w:t>
      </w:r>
      <w:hyperlink w:anchor="ref-price_etal17">
        <w:r>
          <w:rPr>
            <w:rStyle w:val="Hyperlink"/>
          </w:rPr>
          <w:t xml:space="preserve">Price et al., 2017</w:t>
        </w:r>
      </w:hyperlink>
      <w:r>
        <w:t xml:space="preserve">)</w:t>
      </w:r>
      <w:r>
        <w:t xml:space="preserve">. For this reason, they are common in Amaranthaceae, Cyperaceae, Portulacaceae, Poaceae and other families typical of Mediterranean environments</w:t>
      </w:r>
      <w:r>
        <w:t xml:space="preserve"> </w:t>
      </w:r>
      <w:r>
        <w:t xml:space="preserve">(</w:t>
      </w:r>
      <w:hyperlink w:anchor="ref-pyankovetal2010">
        <w:r>
          <w:rPr>
            <w:rStyle w:val="Hyperlink"/>
          </w:rPr>
          <w:t xml:space="preserve">Pyankov et al., 2010</w:t>
        </w:r>
      </w:hyperlink>
      <w:r>
        <w:t xml:space="preserve">)</w:t>
      </w:r>
      <w:r>
        <w:t xml:space="preserve">. The analysis of faunal bones can help in determining whether these animals ate C</w:t>
      </w:r>
      <w:r>
        <w:rPr>
          <w:vertAlign w:val="subscript"/>
        </w:rPr>
        <w:t xml:space="preserve">3</w:t>
      </w:r>
      <w:r>
        <w:t xml:space="preserve"> </w:t>
      </w:r>
      <w:r>
        <w:t xml:space="preserve">or C</w:t>
      </w:r>
      <w:r>
        <w:rPr>
          <w:vertAlign w:val="subscript"/>
        </w:rPr>
        <w:t xml:space="preserve">4</w:t>
      </w:r>
      <w:r>
        <w:t xml:space="preserve"> </w:t>
      </w:r>
      <w:r>
        <w:t xml:space="preserve">plants, as there is an enrichment in δ</w:t>
      </w:r>
      <w:r>
        <w:rPr>
          <w:vertAlign w:val="superscript"/>
        </w:rPr>
        <w:t xml:space="preserve">13</w:t>
      </w:r>
      <w:r>
        <w:t xml:space="preserve">C between diet and consumers (5‰ for herbivores and 0-2‰ between trophic levels</w:t>
      </w:r>
      <w:r>
        <w:t xml:space="preserve"> </w:t>
      </w:r>
      <w:r>
        <w:t xml:space="preserve">(</w:t>
      </w:r>
      <w:hyperlink w:anchor="ref-bocherens_drucker03">
        <w:r>
          <w:rPr>
            <w:rStyle w:val="Hyperlink"/>
          </w:rPr>
          <w:t xml:space="preserve">Bocherens and Drucker, 2003</w:t>
        </w:r>
      </w:hyperlink>
      <w:r>
        <w:t xml:space="preserve">)</w:t>
      </w:r>
      <w:r>
        <w:t xml:space="preserve">). δ</w:t>
      </w:r>
      <w:r>
        <w:rPr>
          <w:vertAlign w:val="superscript"/>
        </w:rPr>
        <w:t xml:space="preserve">13</w:t>
      </w:r>
      <w:r>
        <w:t xml:space="preserve">C measurements are also helpful in differentiating between terrestrial C</w:t>
      </w:r>
      <w:r>
        <w:rPr>
          <w:vertAlign w:val="subscript"/>
        </w:rPr>
        <w:t xml:space="preserve">3</w:t>
      </w:r>
      <w:r>
        <w:t xml:space="preserve"> </w:t>
      </w:r>
      <w:r>
        <w:t xml:space="preserve">and aquatic food sources</w:t>
      </w:r>
      <w:r>
        <w:t xml:space="preserve"> </w:t>
      </w:r>
      <w:r>
        <w:t xml:space="preserve">(</w:t>
      </w:r>
      <w:hyperlink w:anchor="ref-kellner_schoeninger07">
        <w:r>
          <w:rPr>
            <w:rStyle w:val="Hyperlink"/>
          </w:rPr>
          <w:t xml:space="preserve">Kellner and Schoeninger, 2007</w:t>
        </w:r>
      </w:hyperlink>
      <w:r>
        <w:t xml:space="preserve">;</w:t>
      </w:r>
      <w:r>
        <w:t xml:space="preserve"> </w:t>
      </w:r>
      <w:hyperlink w:anchor="ref-froehle_etal10">
        <w:r>
          <w:rPr>
            <w:rStyle w:val="Hyperlink"/>
          </w:rPr>
          <w:t xml:space="preserve">Froehle et al., 2010</w:t>
        </w:r>
      </w:hyperlink>
      <w:r>
        <w:t xml:space="preserve">)</w:t>
      </w:r>
      <w:r>
        <w:t xml:space="preserve">.</w:t>
      </w:r>
    </w:p>
    <w:p>
      <w:pPr>
        <w:pStyle w:val="BodyText"/>
      </w:pPr>
      <w:r>
        <w:t xml:space="preserve">δ</w:t>
      </w:r>
      <w:r>
        <w:rPr>
          <w:vertAlign w:val="superscript"/>
        </w:rPr>
        <w:t xml:space="preserve">15</w:t>
      </w:r>
      <w:r>
        <w:t xml:space="preserve">N values indicate the trophic position (herbivore, omnivore, carnivore) of consumers in a food chain</w:t>
      </w:r>
      <w:r>
        <w:t xml:space="preserve"> </w:t>
      </w:r>
      <w:r>
        <w:t xml:space="preserve">(</w:t>
      </w:r>
      <w:hyperlink w:anchor="ref-schoeninger85">
        <w:r>
          <w:rPr>
            <w:rStyle w:val="Hyperlink"/>
          </w:rPr>
          <w:t xml:space="preserve">Schoeninger, 1985</w:t>
        </w:r>
      </w:hyperlink>
      <w:r>
        <w:t xml:space="preserve">;</w:t>
      </w:r>
      <w:r>
        <w:t xml:space="preserve"> </w:t>
      </w:r>
      <w:hyperlink w:anchor="ref-hedges_reynard07">
        <w:r>
          <w:rPr>
            <w:rStyle w:val="Hyperlink"/>
          </w:rPr>
          <w:t xml:space="preserve">Hedges and Reynard, 2007</w:t>
        </w:r>
      </w:hyperlink>
      <w:r>
        <w:t xml:space="preserve">;</w:t>
      </w:r>
      <w:r>
        <w:t xml:space="preserve"> </w:t>
      </w:r>
      <w:hyperlink w:anchor="ref-price_etal17">
        <w:r>
          <w:rPr>
            <w:rStyle w:val="Hyperlink"/>
          </w:rPr>
          <w:t xml:space="preserve">Price et al., 2017</w:t>
        </w:r>
      </w:hyperlink>
      <w:r>
        <w:t xml:space="preserve">)</w:t>
      </w:r>
      <w:r>
        <w:t xml:space="preserve">, with an enrichment between diet and consumer of around 3-5‰</w:t>
      </w:r>
      <w:r>
        <w:t xml:space="preserve"> </w:t>
      </w:r>
      <w:r>
        <w:t xml:space="preserve">(</w:t>
      </w:r>
      <w:hyperlink w:anchor="ref-schoeninger85">
        <w:r>
          <w:rPr>
            <w:rStyle w:val="Hyperlink"/>
          </w:rPr>
          <w:t xml:space="preserve">Schoeninger, 1985</w:t>
        </w:r>
      </w:hyperlink>
      <w:r>
        <w:t xml:space="preserve">;</w:t>
      </w:r>
      <w:r>
        <w:t xml:space="preserve"> </w:t>
      </w:r>
      <w:hyperlink w:anchor="ref-hedges_reynard07">
        <w:r>
          <w:rPr>
            <w:rStyle w:val="Hyperlink"/>
          </w:rPr>
          <w:t xml:space="preserve">Hedges and Reynard, 2007</w:t>
        </w:r>
      </w:hyperlink>
      <w:r>
        <w:t xml:space="preserve">)</w:t>
      </w:r>
      <w:r>
        <w:t xml:space="preserve">. δ</w:t>
      </w:r>
      <w:r>
        <w:rPr>
          <w:vertAlign w:val="superscript"/>
        </w:rPr>
        <w:t xml:space="preserve">15</w:t>
      </w:r>
      <w:r>
        <w:t xml:space="preserve">N values can also be used to distinguish between terrestrial and marine diets</w:t>
      </w:r>
      <w:r>
        <w:t xml:space="preserve"> </w:t>
      </w:r>
      <w:r>
        <w:t xml:space="preserve">(</w:t>
      </w:r>
      <w:hyperlink w:anchor="ref-deniro_epstein81">
        <w:r>
          <w:rPr>
            <w:rStyle w:val="Hyperlink"/>
          </w:rPr>
          <w:t xml:space="preserve">Deniro and Epstein, 1981</w:t>
        </w:r>
      </w:hyperlink>
      <w:r>
        <w:t xml:space="preserve">;</w:t>
      </w:r>
      <w:r>
        <w:t xml:space="preserve"> </w:t>
      </w:r>
      <w:hyperlink w:anchor="ref-webb_etal17a">
        <w:r>
          <w:rPr>
            <w:rStyle w:val="Hyperlink"/>
          </w:rPr>
          <w:t xml:space="preserve">Webb et al., 2017</w:t>
        </w:r>
      </w:hyperlink>
      <w:r>
        <w:t xml:space="preserve">)</w:t>
      </w:r>
      <w:r>
        <w:t xml:space="preserve">, and the consumption of manured, and unmanured crops</w:t>
      </w:r>
      <w:r>
        <w:t xml:space="preserve"> </w:t>
      </w:r>
      <w:r>
        <w:t xml:space="preserve">(</w:t>
      </w:r>
      <w:hyperlink w:anchor="ref-deniro_epstein81">
        <w:r>
          <w:rPr>
            <w:rStyle w:val="Hyperlink"/>
          </w:rPr>
          <w:t xml:space="preserve">Deniro and Epstein, 1981</w:t>
        </w:r>
      </w:hyperlink>
      <w:r>
        <w:t xml:space="preserve">;</w:t>
      </w:r>
      <w:r>
        <w:t xml:space="preserve"> </w:t>
      </w:r>
      <w:hyperlink w:anchor="ref-bogaard_etal13">
        <w:r>
          <w:rPr>
            <w:rStyle w:val="Hyperlink"/>
          </w:rPr>
          <w:t xml:space="preserve">Bogaard et al., 2013</w:t>
        </w:r>
      </w:hyperlink>
      <w:r>
        <w:t xml:space="preserve">;</w:t>
      </w:r>
      <w:r>
        <w:t xml:space="preserve"> </w:t>
      </w:r>
      <w:hyperlink w:anchor="ref-fraser_etal13a">
        <w:r>
          <w:rPr>
            <w:rStyle w:val="Hyperlink"/>
          </w:rPr>
          <w:t xml:space="preserve">Fraser et al., 2013</w:t>
        </w:r>
      </w:hyperlink>
      <w:r>
        <w:t xml:space="preserve">;</w:t>
      </w:r>
      <w:r>
        <w:t xml:space="preserve"> </w:t>
      </w:r>
      <w:hyperlink w:anchor="ref-fernandez-crespo_etal19">
        <w:r>
          <w:rPr>
            <w:rStyle w:val="Hyperlink"/>
          </w:rPr>
          <w:t xml:space="preserve">Fernández-Crespo et al., 2019</w:t>
        </w:r>
      </w:hyperlink>
      <w:r>
        <w:t xml:space="preserve">)</w:t>
      </w:r>
      <w:r>
        <w:t xml:space="preserve">. δ</w:t>
      </w:r>
      <w:r>
        <w:rPr>
          <w:vertAlign w:val="superscript"/>
        </w:rPr>
        <w:t xml:space="preserve">34</w:t>
      </w:r>
      <w:r>
        <w:t xml:space="preserve">S of bone collagen from terrestrial species is often measured along with δ</w:t>
      </w:r>
      <w:r>
        <w:rPr>
          <w:vertAlign w:val="superscript"/>
        </w:rPr>
        <w:t xml:space="preserve">13</w:t>
      </w:r>
      <w:r>
        <w:t xml:space="preserve">C and δ</w:t>
      </w:r>
      <w:r>
        <w:rPr>
          <w:vertAlign w:val="superscript"/>
        </w:rPr>
        <w:t xml:space="preserve">15</w:t>
      </w:r>
      <w:r>
        <w:t xml:space="preserve">N to identify consumption of marine foods</w:t>
      </w:r>
      <w:r>
        <w:t xml:space="preserve"> </w:t>
      </w:r>
      <w:r>
        <w:t xml:space="preserve">(</w:t>
      </w:r>
      <w:hyperlink w:anchor="ref-nehlich_etal10">
        <w:r>
          <w:rPr>
            <w:rStyle w:val="Hyperlink"/>
          </w:rPr>
          <w:t xml:space="preserve">Nehlich et al., 2010</w:t>
        </w:r>
      </w:hyperlink>
      <w:r>
        <w:t xml:space="preserve">)</w:t>
      </w:r>
      <w:r>
        <w:t xml:space="preserve">.</w:t>
      </w:r>
    </w:p>
    <w:p>
      <w:pPr>
        <w:pStyle w:val="BodyText"/>
      </w:pPr>
      <w:r>
        <w:t xml:space="preserve">The global mean δ</w:t>
      </w:r>
      <w:r>
        <w:rPr>
          <w:vertAlign w:val="superscript"/>
        </w:rPr>
        <w:t xml:space="preserve">34</w:t>
      </w:r>
      <w:r>
        <w:t xml:space="preserve">S value of terrestrial sources is assumed to be 0‰</w:t>
      </w:r>
      <w:r>
        <w:t xml:space="preserve"> </w:t>
      </w:r>
      <w:r>
        <w:t xml:space="preserve">(</w:t>
      </w:r>
      <w:hyperlink w:anchor="ref-nehlich15">
        <w:r>
          <w:rPr>
            <w:rStyle w:val="Hyperlink"/>
          </w:rPr>
          <w:t xml:space="preserve">Nehlich, 2015</w:t>
        </w:r>
      </w:hyperlink>
      <w:r>
        <w:t xml:space="preserve">)</w:t>
      </w:r>
      <w:r>
        <w:t xml:space="preserve">. Inorganic sulfur enters the food web through plants from the weathered bedrock (in a complete terrestrial setting), precipitation (sea spray), and microbial activity due to flooding events</w:t>
      </w:r>
      <w:r>
        <w:t xml:space="preserve"> </w:t>
      </w:r>
      <w:r>
        <w:t xml:space="preserve">(</w:t>
      </w:r>
      <w:hyperlink w:anchor="ref-nitsch_etal19">
        <w:r>
          <w:rPr>
            <w:rStyle w:val="Hyperlink"/>
          </w:rPr>
          <w:t xml:space="preserve">Nitsch et al., 2019</w:t>
        </w:r>
      </w:hyperlink>
      <w:r>
        <w:t xml:space="preserve">)</w:t>
      </w:r>
      <w:r>
        <w:t xml:space="preserve">. As the inorganic sulfur passes through the food web in the form of proteins, only a negligible fractionation occurs between diet and consumer</w:t>
      </w:r>
      <w:r>
        <w:t xml:space="preserve"> </w:t>
      </w:r>
      <w:r>
        <w:t xml:space="preserve">(</w:t>
      </w:r>
      <w:hyperlink w:anchor="ref-hobson99">
        <w:r>
          <w:rPr>
            <w:rStyle w:val="Hyperlink"/>
          </w:rPr>
          <w:t xml:space="preserve">Hobson, 1999</w:t>
        </w:r>
      </w:hyperlink>
      <w:r>
        <w:t xml:space="preserve">;</w:t>
      </w:r>
      <w:r>
        <w:t xml:space="preserve"> </w:t>
      </w:r>
      <w:hyperlink w:anchor="ref-nehlich15">
        <w:r>
          <w:rPr>
            <w:rStyle w:val="Hyperlink"/>
          </w:rPr>
          <w:t xml:space="preserve">Nehlich, 2015</w:t>
        </w:r>
      </w:hyperlink>
      <w:r>
        <w:t xml:space="preserve">)</w:t>
      </w:r>
      <w:r>
        <w:t xml:space="preserve">. Thus, the δ</w:t>
      </w:r>
      <w:r>
        <w:rPr>
          <w:vertAlign w:val="superscript"/>
        </w:rPr>
        <w:t xml:space="preserve">34</w:t>
      </w:r>
      <w:r>
        <w:t xml:space="preserve">S ratio of collagen closely reflects that of the native water source, bedrock, and soluble sulfur-bearing minerals.</w:t>
      </w:r>
    </w:p>
    <w:p>
      <w:pPr>
        <w:pStyle w:val="BodyText"/>
      </w:pPr>
      <w:r>
        <w:t xml:space="preserve">There are two significant inputs that humans can manipulate to cultivate plants: water and nitrogen input, which can be investigated using stable isotopes. Variation in δ</w:t>
      </w:r>
      <w:r>
        <w:rPr>
          <w:vertAlign w:val="superscript"/>
        </w:rPr>
        <w:t xml:space="preserve">13</w:t>
      </w:r>
      <w:r>
        <w:t xml:space="preserve">C values of plants is primarily due to water availability as any dry spells affect the movement of carbon dioxide through the stomata</w:t>
      </w:r>
      <w:r>
        <w:t xml:space="preserve"> </w:t>
      </w:r>
      <w:r>
        <w:t xml:space="preserve">(</w:t>
      </w:r>
      <w:hyperlink w:anchor="ref-ferrio_etal05">
        <w:r>
          <w:rPr>
            <w:rStyle w:val="Hyperlink"/>
          </w:rPr>
          <w:t xml:space="preserve">Ferrio et al., 2005</w:t>
        </w:r>
      </w:hyperlink>
      <w:r>
        <w:t xml:space="preserve">,</w:t>
      </w:r>
      <w:r>
        <w:t xml:space="preserve"> </w:t>
      </w:r>
      <w:hyperlink w:anchor="ref-ferrio_etal07">
        <w:r>
          <w:rPr>
            <w:rStyle w:val="Hyperlink"/>
          </w:rPr>
          <w:t xml:space="preserve">2007</w:t>
        </w:r>
      </w:hyperlink>
      <w:r>
        <w:t xml:space="preserve">;</w:t>
      </w:r>
      <w:r>
        <w:t xml:space="preserve"> </w:t>
      </w:r>
      <w:hyperlink w:anchor="ref-fiorentino_etal15">
        <w:r>
          <w:rPr>
            <w:rStyle w:val="Hyperlink"/>
          </w:rPr>
          <w:t xml:space="preserve">Fiorentino et al., 2015</w:t>
        </w:r>
      </w:hyperlink>
      <w:r>
        <w:t xml:space="preserve">)</w:t>
      </w:r>
      <w:r>
        <w:t xml:space="preserve">. The water status of crops can be artificially controlled by irrigation regimes, reflected in δ</w:t>
      </w:r>
      <w:r>
        <w:rPr>
          <w:vertAlign w:val="superscript"/>
        </w:rPr>
        <w:t xml:space="preserve">13</w:t>
      </w:r>
      <w:r>
        <w:t xml:space="preserve">C values</w:t>
      </w:r>
      <w:r>
        <w:t xml:space="preserve"> </w:t>
      </w:r>
      <w:r>
        <w:t xml:space="preserve">(</w:t>
      </w:r>
      <w:hyperlink w:anchor="ref-ferrio_etal05">
        <w:r>
          <w:rPr>
            <w:rStyle w:val="Hyperlink"/>
          </w:rPr>
          <w:t xml:space="preserve">Ferrio et al., 2005</w:t>
        </w:r>
      </w:hyperlink>
      <w:r>
        <w:t xml:space="preserve">;</w:t>
      </w:r>
      <w:r>
        <w:t xml:space="preserve"> </w:t>
      </w:r>
      <w:hyperlink w:anchor="ref-wallace_etal13">
        <w:r>
          <w:rPr>
            <w:rStyle w:val="Hyperlink"/>
          </w:rPr>
          <w:t xml:space="preserve">Wallace et al., 2013</w:t>
        </w:r>
      </w:hyperlink>
      <w:r>
        <w:t xml:space="preserve">)</w:t>
      </w:r>
      <w:r>
        <w:t xml:space="preserve">. δ</w:t>
      </w:r>
      <w:r>
        <w:rPr>
          <w:vertAlign w:val="superscript"/>
        </w:rPr>
        <w:t xml:space="preserve">13</w:t>
      </w:r>
      <w:r>
        <w:t xml:space="preserve">C values measured in archaeological plants must be converted to carbon discrimination values to be compared with those of the modern crops grown under controlled watering regimes</w:t>
      </w:r>
      <w:r>
        <w:t xml:space="preserve"> </w:t>
      </w:r>
      <w:r>
        <w:t xml:space="preserve">(</w:t>
      </w:r>
      <w:hyperlink w:anchor="ref-farquhar_etal89">
        <w:r>
          <w:rPr>
            <w:rStyle w:val="Hyperlink"/>
          </w:rPr>
          <w:t xml:space="preserve">Farquhar et al., 1989</w:t>
        </w:r>
      </w:hyperlink>
      <w:r>
        <w:t xml:space="preserve">;</w:t>
      </w:r>
      <w:r>
        <w:t xml:space="preserve"> </w:t>
      </w:r>
      <w:hyperlink w:anchor="ref-coplen11">
        <w:r>
          <w:rPr>
            <w:rStyle w:val="Hyperlink"/>
          </w:rPr>
          <w:t xml:space="preserve">Coplen, 2011</w:t>
        </w:r>
      </w:hyperlink>
      <w:r>
        <w:t xml:space="preserve">;</w:t>
      </w:r>
      <w:r>
        <w:t xml:space="preserve"> </w:t>
      </w:r>
      <w:hyperlink w:anchor="ref-wallace_etal13">
        <w:r>
          <w:rPr>
            <w:rStyle w:val="Hyperlink"/>
          </w:rPr>
          <w:t xml:space="preserve">Wallace et al., 2013</w:t>
        </w:r>
      </w:hyperlink>
      <w:r>
        <w:t xml:space="preserve">)</w:t>
      </w:r>
      <w:r>
        <w:t xml:space="preserve">:</w:t>
      </w:r>
    </w:p>
    <w:p>
      <w:pPr>
        <w:pStyle w:val="BodyText"/>
      </w:pPr>
      <m:oMathPara>
        <m:oMathParaPr>
          <m:jc m:val="center"/>
        </m:oMathParaPr>
        <m:oMath>
          <m:sSup>
            <m:e>
              <m:r>
                <m:t>Δ</m:t>
              </m:r>
            </m:e>
            <m:sup>
              <m:r>
                <m:t>13</m:t>
              </m:r>
            </m:sup>
          </m:sSup>
          <m:r>
            <m:t>C</m:t>
          </m:r>
          <m:r>
            <m:rPr>
              <m:sty m:val="p"/>
            </m:rPr>
            <m:t>=</m:t>
          </m:r>
          <m:f>
            <m:fPr>
              <m:type m:val="bar"/>
            </m:fPr>
            <m:num>
              <m:sSup>
                <m:e>
                  <m:r>
                    <m:t>δ</m:t>
                  </m:r>
                </m:e>
                <m:sup>
                  <m:r>
                    <m:t>13</m:t>
                  </m:r>
                </m:sup>
              </m:sSup>
              <m:sSub>
                <m:e>
                  <m:r>
                    <m:t>C</m:t>
                  </m:r>
                </m:e>
                <m:sub>
                  <m:r>
                    <m:t>a</m:t>
                  </m:r>
                  <m:r>
                    <m:t>i</m:t>
                  </m:r>
                  <m:r>
                    <m:t>r</m:t>
                  </m:r>
                </m:sub>
              </m:sSub>
              <m:r>
                <m:rPr>
                  <m:sty m:val="p"/>
                </m:rPr>
                <m:t>−</m:t>
              </m:r>
              <m:sSup>
                <m:e>
                  <m:r>
                    <m:t>δ</m:t>
                  </m:r>
                </m:e>
                <m:sup>
                  <m:r>
                    <m:t>13</m:t>
                  </m:r>
                </m:sup>
              </m:sSup>
              <m:sSub>
                <m:e>
                  <m:r>
                    <m:t>C</m:t>
                  </m:r>
                </m:e>
                <m:sub>
                  <m:r>
                    <m:t>p</m:t>
                  </m:r>
                  <m:r>
                    <m:t>l</m:t>
                  </m:r>
                  <m:r>
                    <m:t>a</m:t>
                  </m:r>
                  <m:r>
                    <m:t>n</m:t>
                  </m:r>
                  <m:r>
                    <m:t>t</m:t>
                  </m:r>
                </m:sub>
              </m:sSub>
            </m:num>
            <m:den>
              <m:r>
                <m:t>1</m:t>
              </m:r>
              <m:r>
                <m:rPr>
                  <m:sty m:val="p"/>
                </m:rPr>
                <m:t>+</m:t>
              </m:r>
              <m:sSup>
                <m:e>
                  <m:r>
                    <m:t>δ</m:t>
                  </m:r>
                </m:e>
                <m:sup>
                  <m:r>
                    <m:t>13</m:t>
                  </m:r>
                </m:sup>
              </m:sSup>
              <m:sSub>
                <m:e>
                  <m:r>
                    <m:t>C</m:t>
                  </m:r>
                </m:e>
                <m:sub>
                  <m:r>
                    <m:t>p</m:t>
                  </m:r>
                  <m:r>
                    <m:t>l</m:t>
                  </m:r>
                  <m:r>
                    <m:t>a</m:t>
                  </m:r>
                  <m:r>
                    <m:t>n</m:t>
                  </m:r>
                  <m:r>
                    <m:t>t</m:t>
                  </m:r>
                </m:sub>
              </m:sSub>
            </m:den>
          </m:f>
        </m:oMath>
      </m:oMathPara>
    </w:p>
    <w:p>
      <w:pPr>
        <w:pStyle w:val="FirstParagraph"/>
      </w:pPr>
      <w:r>
        <w:t xml:space="preserve">Another major factor, which affects the δ</w:t>
      </w:r>
      <w:r>
        <w:rPr>
          <w:vertAlign w:val="superscript"/>
        </w:rPr>
        <w:t xml:space="preserve">13</w:t>
      </w:r>
      <w:r>
        <w:t xml:space="preserve">C measurements of plants, is the canopy effect, where forested areas are more depleted in the heavier</w:t>
      </w:r>
      <w:r>
        <w:t xml:space="preserve"> </w:t>
      </w:r>
      <w:r>
        <w:rPr>
          <w:vertAlign w:val="superscript"/>
        </w:rPr>
        <w:t xml:space="preserve">13</w:t>
      </w:r>
      <w:r>
        <w:t xml:space="preserve">C isotope compared to open areas</w:t>
      </w:r>
      <w:r>
        <w:t xml:space="preserve"> </w:t>
      </w:r>
      <w:r>
        <w:t xml:space="preserve">(</w:t>
      </w:r>
      <w:hyperlink w:anchor="ref-bonafini_etal13">
        <w:r>
          <w:rPr>
            <w:rStyle w:val="Hyperlink"/>
          </w:rPr>
          <w:t xml:space="preserve">Bonafini et al., 2013</w:t>
        </w:r>
      </w:hyperlink>
      <w:r>
        <w:t xml:space="preserve">)</w:t>
      </w:r>
      <w:r>
        <w:t xml:space="preserve">. Thus, the δ</w:t>
      </w:r>
      <w:r>
        <w:rPr>
          <w:vertAlign w:val="superscript"/>
        </w:rPr>
        <w:t xml:space="preserve">13</w:t>
      </w:r>
      <w:r>
        <w:t xml:space="preserve">C measurements of plants are the result of multiple factors and should be interpreted with caution. One of the most ancient practices to increase soil fertility is the application of animal manure which significantly enriches the nitrogen content compared to endogenous soil</w:t>
      </w:r>
      <w:r>
        <w:t xml:space="preserve"> </w:t>
      </w:r>
      <w:r>
        <w:t xml:space="preserve">(</w:t>
      </w:r>
      <w:hyperlink w:anchor="ref-bogaard_etal13">
        <w:r>
          <w:rPr>
            <w:rStyle w:val="Hyperlink"/>
          </w:rPr>
          <w:t xml:space="preserve">Bogaard et al., 2013</w:t>
        </w:r>
      </w:hyperlink>
      <w:r>
        <w:t xml:space="preserve">)</w:t>
      </w:r>
      <w:r>
        <w:t xml:space="preserve">. Usually, the plants treated with manure exhibit higher δ</w:t>
      </w:r>
      <w:r>
        <w:rPr>
          <w:vertAlign w:val="superscript"/>
        </w:rPr>
        <w:t xml:space="preserve">15</w:t>
      </w:r>
      <w:r>
        <w:t xml:space="preserve">N values (as much as 10‰) when compared to unfertilized plants</w:t>
      </w:r>
      <w:r>
        <w:t xml:space="preserve"> </w:t>
      </w:r>
      <w:r>
        <w:t xml:space="preserve">(</w:t>
      </w:r>
      <w:hyperlink w:anchor="ref-bogaard_etal07">
        <w:r>
          <w:rPr>
            <w:rStyle w:val="Hyperlink"/>
          </w:rPr>
          <w:t xml:space="preserve">Bogaard et al., 2007</w:t>
        </w:r>
      </w:hyperlink>
      <w:r>
        <w:t xml:space="preserve">;</w:t>
      </w:r>
      <w:r>
        <w:t xml:space="preserve"> </w:t>
      </w:r>
      <w:hyperlink w:anchor="ref-fraser_etal11">
        <w:r>
          <w:rPr>
            <w:rStyle w:val="Hyperlink"/>
          </w:rPr>
          <w:t xml:space="preserve">Fraser et al., 2011</w:t>
        </w:r>
      </w:hyperlink>
      <w:r>
        <w:t xml:space="preserve">)</w:t>
      </w:r>
      <w:r>
        <w:t xml:space="preserve">. The δ</w:t>
      </w:r>
      <w:r>
        <w:rPr>
          <w:vertAlign w:val="superscript"/>
        </w:rPr>
        <w:t xml:space="preserve">13</w:t>
      </w:r>
      <w:r>
        <w:t xml:space="preserve">C and δ</w:t>
      </w:r>
      <w:r>
        <w:rPr>
          <w:vertAlign w:val="superscript"/>
        </w:rPr>
        <w:t xml:space="preserve">15</w:t>
      </w:r>
      <w:r>
        <w:t xml:space="preserve">N values themselves do not reveal the agricultural practices but reveal patterns when interpreted within a specific archaeological and ecological context.</w:t>
      </w:r>
    </w:p>
    <w:p>
      <w:pPr>
        <w:pStyle w:val="BodyText"/>
      </w:pPr>
      <w:r>
        <w:rPr>
          <w:b/>
          <w:bCs/>
        </w:rPr>
        <w:t xml:space="preserve">&lt;—————————Table 1————————–&gt;</w:t>
      </w:r>
    </w:p>
    <w:bookmarkEnd w:id="23"/>
    <w:bookmarkEnd w:id="24"/>
    <w:bookmarkStart w:id="38" w:name="background"/>
    <w:p>
      <w:pPr>
        <w:pStyle w:val="Heading1"/>
      </w:pPr>
      <w:r>
        <w:rPr>
          <w:rStyle w:val="SectionNumber"/>
        </w:rPr>
        <w:t xml:space="preserve">3</w:t>
      </w:r>
      <w:r>
        <w:tab/>
      </w:r>
      <w:r>
        <w:t xml:space="preserve">Background</w:t>
      </w:r>
    </w:p>
    <w:bookmarkStart w:id="29" w:name="phoenician---punic-agriculture"/>
    <w:p>
      <w:pPr>
        <w:pStyle w:val="Heading2"/>
      </w:pPr>
      <w:r>
        <w:rPr>
          <w:rStyle w:val="SectionNumber"/>
        </w:rPr>
        <w:t xml:space="preserve">3.1</w:t>
      </w:r>
      <w:r>
        <w:tab/>
      </w:r>
      <w:r>
        <w:t xml:space="preserve">Phoenician - Punic agriculture</w:t>
      </w:r>
    </w:p>
    <w:p>
      <w:pPr>
        <w:pStyle w:val="FirstParagraph"/>
      </w:pPr>
      <w:r>
        <w:t xml:space="preserve">Most knowledge about Phoenician and Punic agriculture comes from the famous treaty by Mago, of which only a few fragments have survived and subsequently translated</w:t>
      </w:r>
      <w:r>
        <w:t xml:space="preserve"> </w:t>
      </w:r>
      <w:r>
        <w:t xml:space="preserve">(</w:t>
      </w:r>
      <w:hyperlink w:anchor="ref-martin71">
        <w:r>
          <w:rPr>
            <w:rStyle w:val="Hyperlink"/>
          </w:rPr>
          <w:t xml:space="preserve">Martin, 1971</w:t>
        </w:r>
      </w:hyperlink>
      <w:r>
        <w:t xml:space="preserve">)</w:t>
      </w:r>
      <w:r>
        <w:t xml:space="preserve">. Other accounts are by authors from the Greek and Roman domains, usually written centuries after the pinnacle of the Phoenician-Punic horizon. The current understanding has been mainly developed due to systematic excavations of different Phoenician – Punic settlements in Iberia and subsequent zooarchaeological and archaeobotanical studies on the recovered faunal and plant remains</w:t>
      </w:r>
      <w:r>
        <w:t xml:space="preserve"> </w:t>
      </w:r>
      <w:r>
        <w:t xml:space="preserve">(</w:t>
      </w:r>
      <w:hyperlink w:anchor="ref-wagner_alvar89">
        <w:r>
          <w:rPr>
            <w:rStyle w:val="Hyperlink"/>
          </w:rPr>
          <w:t xml:space="preserve">Wagner and Alvar, 1989</w:t>
        </w:r>
      </w:hyperlink>
      <w:r>
        <w:t xml:space="preserve">;</w:t>
      </w:r>
      <w:r>
        <w:t xml:space="preserve"> </w:t>
      </w:r>
      <w:hyperlink w:anchor="ref-aubet01">
        <w:r>
          <w:rPr>
            <w:rStyle w:val="Hyperlink"/>
          </w:rPr>
          <w:t xml:space="preserve">Aubet, 2001</w:t>
        </w:r>
      </w:hyperlink>
      <w:r>
        <w:t xml:space="preserve">;</w:t>
      </w:r>
      <w:r>
        <w:t xml:space="preserve"> </w:t>
      </w:r>
      <w:hyperlink w:anchor="ref-wagner_alvar03">
        <w:r>
          <w:rPr>
            <w:rStyle w:val="Hyperlink"/>
          </w:rPr>
          <w:t xml:space="preserve">Wagner and Alvar, 2003</w:t>
        </w:r>
      </w:hyperlink>
      <w:r>
        <w:t xml:space="preserve">)</w:t>
      </w:r>
      <w:r>
        <w:t xml:space="preserve">. The Southwest Iberian region has been praised by Strabo (3, 2, 8) for possessing the rare combination of abundant mineral deposits and natural fertility</w:t>
      </w:r>
      <w:r>
        <w:t xml:space="preserve"> </w:t>
      </w:r>
      <w:r>
        <w:t xml:space="preserve">(</w:t>
      </w:r>
      <w:hyperlink w:anchor="ref-roller14">
        <w:r>
          <w:rPr>
            <w:rStyle w:val="Hyperlink"/>
          </w:rPr>
          <w:t xml:space="preserve">Roller, 2014</w:t>
        </w:r>
      </w:hyperlink>
      <w:r>
        <w:t xml:space="preserve">)</w:t>
      </w:r>
      <w:r>
        <w:t xml:space="preserve">. From the 9</w:t>
      </w:r>
      <w:r>
        <w:rPr>
          <w:vertAlign w:val="superscript"/>
        </w:rPr>
        <w:t xml:space="preserve">th</w:t>
      </w:r>
      <w:r>
        <w:t xml:space="preserve"> </w:t>
      </w:r>
      <w:r>
        <w:t xml:space="preserve">century BCE, the Phoenician presence is noted in the Iberian Peninsula along the Mediterranean and Atlantic coastal zones. This strategic location gave them reasonable access to the sailing routes and provided them with a plethora of cultivable land</w:t>
      </w:r>
      <w:r>
        <w:t xml:space="preserve"> </w:t>
      </w:r>
      <w:r>
        <w:t xml:space="preserve">(</w:t>
      </w:r>
      <w:hyperlink w:anchor="ref-aubet01">
        <w:r>
          <w:rPr>
            <w:rStyle w:val="Hyperlink"/>
          </w:rPr>
          <w:t xml:space="preserve">Aubet, 2001</w:t>
        </w:r>
      </w:hyperlink>
      <w:r>
        <w:t xml:space="preserve">)</w:t>
      </w:r>
      <w:r>
        <w:t xml:space="preserve">. Colonies in Iberia were located in a landscape similar to the Levant with proximity to the coast and marked with steep mountain ranges and riverine valleys. Being located in a river valley gave the colonizers the ease of adapting existing practices from the Mediterranean in the Iberian hinterland. This included modifying and adapting the landscape to suit their agricultural needs, comprising farming and animal husbandry</w:t>
      </w:r>
      <w:r>
        <w:t xml:space="preserve"> </w:t>
      </w:r>
      <w:r>
        <w:t xml:space="preserve">(</w:t>
      </w:r>
      <w:hyperlink w:anchor="ref-gomezbellard19">
        <w:r>
          <w:rPr>
            <w:rStyle w:val="Hyperlink"/>
          </w:rPr>
          <w:t xml:space="preserve">Gómez Bellard, 2019</w:t>
        </w:r>
      </w:hyperlink>
      <w:r>
        <w:t xml:space="preserve">)</w:t>
      </w:r>
      <w:r>
        <w:t xml:space="preserve">.</w:t>
      </w:r>
    </w:p>
    <w:p>
      <w:pPr>
        <w:pStyle w:val="BodyText"/>
      </w:pPr>
      <w:r>
        <w:t xml:space="preserve">Agricultural techniques from the East, such as irrigation, were probably used to improve upon the native practices, at least in some areas. The iron production technology gave more robust implements such as plowshare, to the farmers. Better yielding cultivars (e.g., grapes and olives) and new species of animals (e.g., horse, donkey, and chicken) were introduced</w:t>
      </w:r>
      <w:r>
        <w:t xml:space="preserve"> </w:t>
      </w:r>
      <w:r>
        <w:t xml:space="preserve">(</w:t>
      </w:r>
      <w:hyperlink w:anchor="ref-vanleeuwaarden_janssen85">
        <w:r>
          <w:rPr>
            <w:rStyle w:val="Hyperlink"/>
          </w:rPr>
          <w:t xml:space="preserve">Van Leeuwaarden and Janssen, 1985</w:t>
        </w:r>
      </w:hyperlink>
      <w:r>
        <w:t xml:space="preserve">;</w:t>
      </w:r>
      <w:r>
        <w:t xml:space="preserve"> </w:t>
      </w:r>
      <w:hyperlink w:anchor="ref-queiroz_etal06">
        <w:r>
          <w:rPr>
            <w:rStyle w:val="Hyperlink"/>
          </w:rPr>
          <w:t xml:space="preserve">Queiroz et al., 2006</w:t>
        </w:r>
      </w:hyperlink>
      <w:r>
        <w:t xml:space="preserve">;</w:t>
      </w:r>
      <w:r>
        <w:t xml:space="preserve"> </w:t>
      </w:r>
      <w:hyperlink w:anchor="ref-davis07">
        <w:r>
          <w:rPr>
            <w:rStyle w:val="Hyperlink"/>
          </w:rPr>
          <w:t xml:space="preserve">Davis, 2007</w:t>
        </w:r>
      </w:hyperlink>
      <w:r>
        <w:t xml:space="preserve">)</w:t>
      </w:r>
      <w:r>
        <w:t xml:space="preserve">. Following the</w:t>
      </w:r>
      <w:r>
        <w:t xml:space="preserve"> </w:t>
      </w:r>
      <w:r>
        <w:t xml:space="preserve">“</w:t>
      </w:r>
      <w:r>
        <w:t xml:space="preserve">sixth century crisis</w:t>
      </w:r>
      <w:r>
        <w:t xml:space="preserve">”</w:t>
      </w:r>
      <w:r>
        <w:t xml:space="preserve">, in the period referred to as the Punic period, an economic change brought a drastic transformation in space use concerning both settlement and domain. In the latter phase of the Iron Age, in addition to the cultivation of cash crops and wine, local usable arboreal products such as timber and fruits were identified and exploited to boost exports</w:t>
      </w:r>
      <w:r>
        <w:t xml:space="preserve"> </w:t>
      </w:r>
      <w:r>
        <w:t xml:space="preserve">(</w:t>
      </w:r>
      <w:hyperlink w:anchor="ref-neville98">
        <w:r>
          <w:rPr>
            <w:rStyle w:val="Hyperlink"/>
          </w:rPr>
          <w:t xml:space="preserve">Neville, 1998</w:t>
        </w:r>
      </w:hyperlink>
      <w:r>
        <w:t xml:space="preserve">;</w:t>
      </w:r>
      <w:r>
        <w:t xml:space="preserve"> </w:t>
      </w:r>
      <w:hyperlink w:anchor="ref-gomezbellard19">
        <w:r>
          <w:rPr>
            <w:rStyle w:val="Hyperlink"/>
          </w:rPr>
          <w:t xml:space="preserve">Gómez Bellard, 2019</w:t>
        </w:r>
      </w:hyperlink>
      <w:r>
        <w:t xml:space="preserve">)</w:t>
      </w:r>
      <w:r>
        <w:t xml:space="preserve">. The exploitation of arboreal products and perennial crops meant the existence of both short-term and long-term agricultural investments. Such diverse investments with different harvest times must have led to the development of a complex agricultural economy.</w:t>
      </w:r>
    </w:p>
    <w:p>
      <w:pPr>
        <w:pStyle w:val="CaptionedFigure"/>
      </w:pPr>
      <w:r>
        <w:drawing>
          <wp:inline>
            <wp:extent cx="6197600" cy="5515040"/>
            <wp:effectExtent b="0" l="0" r="0" t="0"/>
            <wp:docPr descr="Figure 1: Geological map of the region around Castro Marim on the banks of Guadiana River, Algarve Region of Portugal in EPSG 4326 projection. (Source: Directorate General of Mines and Geological Services - Carta de Geológica de Portugal)." title="" id="26" name="Picture"/>
            <a:graphic>
              <a:graphicData uri="http://schemas.openxmlformats.org/drawingml/2006/picture">
                <pic:pic>
                  <pic:nvPicPr>
                    <pic:cNvPr descr="C:/Users/rosha/Documents/R/Projects/castro_marim_phoenician/./images/castro_marim_map.jpg" id="27" name="Picture"/>
                    <pic:cNvPicPr>
                      <a:picLocks noChangeArrowheads="1" noChangeAspect="1"/>
                    </pic:cNvPicPr>
                  </pic:nvPicPr>
                  <pic:blipFill>
                    <a:blip r:embed="rId25"/>
                    <a:stretch>
                      <a:fillRect/>
                    </a:stretch>
                  </pic:blipFill>
                  <pic:spPr bwMode="auto">
                    <a:xfrm>
                      <a:off x="0" y="0"/>
                      <a:ext cx="6197600" cy="5515040"/>
                    </a:xfrm>
                    <a:prstGeom prst="rect">
                      <a:avLst/>
                    </a:prstGeom>
                    <a:noFill/>
                    <a:ln w="9525">
                      <a:noFill/>
                      <a:headEnd/>
                      <a:tailEnd/>
                    </a:ln>
                  </pic:spPr>
                </pic:pic>
              </a:graphicData>
            </a:graphic>
          </wp:inline>
        </w:drawing>
      </w:r>
    </w:p>
    <w:p>
      <w:pPr>
        <w:pStyle w:val="ImageCaption"/>
      </w:pPr>
      <w:bookmarkStart w:id="28" w:name="fig:castro-marim-loc"/>
      <w:bookmarkEnd w:id="28"/>
      <w:r>
        <w:t xml:space="preserve">Figure 1: Geological map of the region around Castro Marim on the banks of Guadiana River, Algarve Region of Portugal in EPSG 4326 projection. (Source: Directorate General of Mines and Geological Services - Carta de Geológica de Portugal).</w:t>
      </w:r>
    </w:p>
    <w:bookmarkEnd w:id="29"/>
    <w:bookmarkStart w:id="30" w:name="site-information"/>
    <w:p>
      <w:pPr>
        <w:pStyle w:val="Heading2"/>
      </w:pPr>
      <w:r>
        <w:rPr>
          <w:rStyle w:val="SectionNumber"/>
        </w:rPr>
        <w:t xml:space="preserve">3.2</w:t>
      </w:r>
      <w:r>
        <w:tab/>
      </w:r>
      <w:r>
        <w:t xml:space="preserve">Site information</w:t>
      </w:r>
    </w:p>
    <w:p>
      <w:pPr>
        <w:pStyle w:val="FirstParagraph"/>
      </w:pPr>
      <w:r>
        <w:t xml:space="preserve">Castro Marim is located on the Guadiana estuary (Fig.</w:t>
      </w:r>
      <w:r>
        <w:t xml:space="preserve"> </w:t>
      </w:r>
      <w:r>
        <w:t xml:space="preserve">1</w:t>
      </w:r>
      <w:r>
        <w:t xml:space="preserve">) as a portal to the metallogenic mineral-rich Baixo-Alentejo region as well as to the fertile cultivable lands in the interior regions. The Iron Age settlement was located on an elevation with adequate natural defensive elements and overlooked vast swatches of land, which allowed domination of estuarine traffic and agricultural activities in its domain of influence. These conditions allowed trade and cultural networks between the indigenous communities and the Mediterranean communities to flourish. The earliest Iron Age occupation of the site is characterized by East-West orthogonal settlement architecture dating from the first half of 7</w:t>
      </w:r>
      <w:r>
        <w:rPr>
          <w:vertAlign w:val="superscript"/>
        </w:rPr>
        <w:t xml:space="preserve">th</w:t>
      </w:r>
      <w:r>
        <w:t xml:space="preserve"> </w:t>
      </w:r>
      <w:r>
        <w:t xml:space="preserve">century BCE, in the Orientalizing period</w:t>
      </w:r>
      <w:r>
        <w:t xml:space="preserve"> </w:t>
      </w:r>
      <w:r>
        <w:t xml:space="preserve">(</w:t>
      </w:r>
      <w:hyperlink w:anchor="ref-arruda96">
        <w:r>
          <w:rPr>
            <w:rStyle w:val="Hyperlink"/>
          </w:rPr>
          <w:t xml:space="preserve">Arruda, 1996</w:t>
        </w:r>
      </w:hyperlink>
      <w:r>
        <w:t xml:space="preserve">;</w:t>
      </w:r>
      <w:r>
        <w:t xml:space="preserve"> </w:t>
      </w:r>
      <w:hyperlink w:anchor="ref-arruda_etal13">
        <w:r>
          <w:rPr>
            <w:rStyle w:val="Hyperlink"/>
          </w:rPr>
          <w:t xml:space="preserve">Arruda et al., 2013</w:t>
        </w:r>
      </w:hyperlink>
      <w:r>
        <w:t xml:space="preserve">)</w:t>
      </w:r>
      <w:r>
        <w:t xml:space="preserve">.This earliest Iron Age occupation corresponds to Castro Marim´s phase II (1</w:t>
      </w:r>
      <w:r>
        <w:rPr>
          <w:vertAlign w:val="superscript"/>
        </w:rPr>
        <w:t xml:space="preserve">st</w:t>
      </w:r>
      <w:r>
        <w:t xml:space="preserve"> </w:t>
      </w:r>
      <w:r>
        <w:t xml:space="preserve">half of the 7</w:t>
      </w:r>
      <w:r>
        <w:rPr>
          <w:vertAlign w:val="superscript"/>
        </w:rPr>
        <w:t xml:space="preserve">th</w:t>
      </w:r>
      <w:r>
        <w:t xml:space="preserve"> </w:t>
      </w:r>
      <w:r>
        <w:t xml:space="preserve">century BCE), III (2</w:t>
      </w:r>
      <w:r>
        <w:rPr>
          <w:vertAlign w:val="superscript"/>
        </w:rPr>
        <w:t xml:space="preserve">nd</w:t>
      </w:r>
      <w:r>
        <w:t xml:space="preserve"> </w:t>
      </w:r>
      <w:r>
        <w:t xml:space="preserve">half of the 7</w:t>
      </w:r>
      <w:r>
        <w:rPr>
          <w:vertAlign w:val="superscript"/>
        </w:rPr>
        <w:t xml:space="preserve">th</w:t>
      </w:r>
      <w:r>
        <w:t xml:space="preserve"> </w:t>
      </w:r>
      <w:r>
        <w:t xml:space="preserve">century BCE) and IV (6</w:t>
      </w:r>
      <w:r>
        <w:rPr>
          <w:vertAlign w:val="superscript"/>
        </w:rPr>
        <w:t xml:space="preserve">th</w:t>
      </w:r>
      <w:r>
        <w:t xml:space="preserve"> </w:t>
      </w:r>
      <w:r>
        <w:t xml:space="preserve">century BCE). Phoenician imports and other evidence for human presence declined from the second half of the 6</w:t>
      </w:r>
      <w:r>
        <w:rPr>
          <w:vertAlign w:val="superscript"/>
        </w:rPr>
        <w:t xml:space="preserve">th</w:t>
      </w:r>
      <w:r>
        <w:t xml:space="preserve"> </w:t>
      </w:r>
      <w:r>
        <w:t xml:space="preserve">century BCE till the first half of the 5</w:t>
      </w:r>
      <w:r>
        <w:rPr>
          <w:vertAlign w:val="superscript"/>
        </w:rPr>
        <w:t xml:space="preserve">th</w:t>
      </w:r>
      <w:r>
        <w:t xml:space="preserve"> </w:t>
      </w:r>
      <w:r>
        <w:t xml:space="preserve">century BCE</w:t>
      </w:r>
      <w:r>
        <w:t xml:space="preserve"> </w:t>
      </w:r>
      <w:r>
        <w:t xml:space="preserve">(</w:t>
      </w:r>
      <w:hyperlink w:anchor="ref-arruda96">
        <w:r>
          <w:rPr>
            <w:rStyle w:val="Hyperlink"/>
          </w:rPr>
          <w:t xml:space="preserve">Arruda, 1996</w:t>
        </w:r>
      </w:hyperlink>
      <w:r>
        <w:t xml:space="preserve">)</w:t>
      </w:r>
      <w:r>
        <w:t xml:space="preserve">. Significant changes in material culture and restructuring of the settlement architecture with a Northeast-Southwest orientation are observed from the second half of the 5</w:t>
      </w:r>
      <w:r>
        <w:rPr>
          <w:vertAlign w:val="superscript"/>
        </w:rPr>
        <w:t xml:space="preserve">th</w:t>
      </w:r>
      <w:r>
        <w:t xml:space="preserve"> </w:t>
      </w:r>
      <w:r>
        <w:t xml:space="preserve">century BCE</w:t>
      </w:r>
      <w:r>
        <w:t xml:space="preserve"> </w:t>
      </w:r>
      <w:r>
        <w:t xml:space="preserve">(</w:t>
      </w:r>
      <w:hyperlink w:anchor="ref-arruda_etal06">
        <w:r>
          <w:rPr>
            <w:rStyle w:val="Hyperlink"/>
          </w:rPr>
          <w:t xml:space="preserve">Arruda et al., 2006</w:t>
        </w:r>
      </w:hyperlink>
      <w:r>
        <w:t xml:space="preserve">,</w:t>
      </w:r>
      <w:r>
        <w:t xml:space="preserve"> </w:t>
      </w:r>
      <w:hyperlink w:anchor="ref-arruda_etal13">
        <w:r>
          <w:rPr>
            <w:rStyle w:val="Hyperlink"/>
          </w:rPr>
          <w:t xml:space="preserve">2013</w:t>
        </w:r>
      </w:hyperlink>
      <w:r>
        <w:t xml:space="preserve">;</w:t>
      </w:r>
      <w:r>
        <w:t xml:space="preserve"> </w:t>
      </w:r>
      <w:hyperlink w:anchor="ref-arruda_freitas08">
        <w:r>
          <w:rPr>
            <w:rStyle w:val="Hyperlink"/>
          </w:rPr>
          <w:t xml:space="preserve">Arruda and Freitas, 2008</w:t>
        </w:r>
      </w:hyperlink>
      <w:r>
        <w:t xml:space="preserve">)</w:t>
      </w:r>
      <w:r>
        <w:t xml:space="preserve">. The earlier period’s departure was marked by imports from Greek products – specifically ceramics such as</w:t>
      </w:r>
      <w:r>
        <w:t xml:space="preserve"> </w:t>
      </w:r>
      <w:r>
        <w:rPr>
          <w:i/>
          <w:iCs/>
        </w:rPr>
        <w:t xml:space="preserve">kilikes</w:t>
      </w:r>
      <w:r>
        <w:t xml:space="preserve">,</w:t>
      </w:r>
      <w:r>
        <w:t xml:space="preserve"> </w:t>
      </w:r>
      <w:r>
        <w:rPr>
          <w:i/>
          <w:iCs/>
        </w:rPr>
        <w:t xml:space="preserve">skyphoi</w:t>
      </w:r>
      <w:r>
        <w:t xml:space="preserve">, and</w:t>
      </w:r>
      <w:r>
        <w:t xml:space="preserve"> </w:t>
      </w:r>
      <w:r>
        <w:rPr>
          <w:i/>
          <w:iCs/>
        </w:rPr>
        <w:t xml:space="preserve">kantharoi</w:t>
      </w:r>
      <w:r>
        <w:t xml:space="preserve"> </w:t>
      </w:r>
      <w:r>
        <w:t xml:space="preserve">(</w:t>
      </w:r>
      <w:hyperlink w:anchor="ref-arruda97">
        <w:r>
          <w:rPr>
            <w:rStyle w:val="Hyperlink"/>
          </w:rPr>
          <w:t xml:space="preserve">Arruda, 1997</w:t>
        </w:r>
      </w:hyperlink>
      <w:r>
        <w:t xml:space="preserve">;</w:t>
      </w:r>
      <w:r>
        <w:t xml:space="preserve"> </w:t>
      </w:r>
      <w:hyperlink w:anchor="ref-arruda_etal20">
        <w:r>
          <w:rPr>
            <w:rStyle w:val="Hyperlink"/>
          </w:rPr>
          <w:t xml:space="preserve">Arruda et al., 2020</w:t>
        </w:r>
      </w:hyperlink>
      <w:r>
        <w:t xml:space="preserve">)</w:t>
      </w:r>
      <w:r>
        <w:t xml:space="preserve">. This resurgence put Castro Marim back in the main commercial circuits along the Iberian Peninsula’s Atlantic coast till the 3</w:t>
      </w:r>
      <w:r>
        <w:rPr>
          <w:vertAlign w:val="superscript"/>
        </w:rPr>
        <w:t xml:space="preserve">rd</w:t>
      </w:r>
      <w:r>
        <w:t xml:space="preserve"> </w:t>
      </w:r>
      <w:r>
        <w:t xml:space="preserve">century BCE</w:t>
      </w:r>
      <w:r>
        <w:t xml:space="preserve"> </w:t>
      </w:r>
      <w:r>
        <w:t xml:space="preserve">(</w:t>
      </w:r>
      <w:hyperlink w:anchor="ref-arruda00">
        <w:r>
          <w:rPr>
            <w:rStyle w:val="Hyperlink"/>
          </w:rPr>
          <w:t xml:space="preserve">Arruda, 2000</w:t>
        </w:r>
      </w:hyperlink>
      <w:r>
        <w:t xml:space="preserve">;</w:t>
      </w:r>
      <w:r>
        <w:t xml:space="preserve"> </w:t>
      </w:r>
      <w:hyperlink w:anchor="ref-arruda_etal06">
        <w:r>
          <w:rPr>
            <w:rStyle w:val="Hyperlink"/>
          </w:rPr>
          <w:t xml:space="preserve">Arruda et al., 2006</w:t>
        </w:r>
      </w:hyperlink>
      <w:r>
        <w:t xml:space="preserve">,</w:t>
      </w:r>
      <w:r>
        <w:t xml:space="preserve"> </w:t>
      </w:r>
      <w:hyperlink w:anchor="ref-arruda_etal13">
        <w:r>
          <w:rPr>
            <w:rStyle w:val="Hyperlink"/>
          </w:rPr>
          <w:t xml:space="preserve">2013</w:t>
        </w:r>
      </w:hyperlink>
      <w:r>
        <w:t xml:space="preserve">;</w:t>
      </w:r>
      <w:r>
        <w:t xml:space="preserve"> </w:t>
      </w:r>
      <w:hyperlink w:anchor="ref-sousa19">
        <w:r>
          <w:rPr>
            <w:rStyle w:val="Hyperlink"/>
          </w:rPr>
          <w:t xml:space="preserve">Sousa, 2019</w:t>
        </w:r>
      </w:hyperlink>
      <w:r>
        <w:t xml:space="preserve">)</w:t>
      </w:r>
      <w:r>
        <w:t xml:space="preserve">. The Phoenician-Punic period is represented by archaeological phases III, IV, and V.</w:t>
      </w:r>
    </w:p>
    <w:p>
      <w:pPr>
        <w:pStyle w:val="BodyText"/>
      </w:pPr>
      <w:r>
        <w:t xml:space="preserve">Castro Marim’s location in a littoral zone made it possible to adopt a wide range of agricultural strategies and husbandry practices. The presence of cereals (</w:t>
      </w:r>
      <w:r>
        <w:rPr>
          <w:i/>
          <w:iCs/>
        </w:rPr>
        <w:t xml:space="preserve">Hordeum</w:t>
      </w:r>
      <w:r>
        <w:t xml:space="preserve"> </w:t>
      </w:r>
      <w:r>
        <w:t xml:space="preserve">and</w:t>
      </w:r>
      <w:r>
        <w:t xml:space="preserve"> </w:t>
      </w:r>
      <w:r>
        <w:rPr>
          <w:i/>
          <w:iCs/>
        </w:rPr>
        <w:t xml:space="preserve">Triticum</w:t>
      </w:r>
      <w:r>
        <w:t xml:space="preserve">), grapes (</w:t>
      </w:r>
      <w:r>
        <w:rPr>
          <w:i/>
          <w:iCs/>
        </w:rPr>
        <w:t xml:space="preserve">Vitis vinifera</w:t>
      </w:r>
      <w:r>
        <w:t xml:space="preserve">), pulses (</w:t>
      </w:r>
      <w:r>
        <w:rPr>
          <w:i/>
          <w:iCs/>
        </w:rPr>
        <w:t xml:space="preserve">Vicia</w:t>
      </w:r>
      <w:r>
        <w:t xml:space="preserve"> </w:t>
      </w:r>
      <w:r>
        <w:t xml:space="preserve">and</w:t>
      </w:r>
      <w:r>
        <w:t xml:space="preserve"> </w:t>
      </w:r>
      <w:r>
        <w:rPr>
          <w:i/>
          <w:iCs/>
        </w:rPr>
        <w:t xml:space="preserve">Cicer</w:t>
      </w:r>
      <w:r>
        <w:t xml:space="preserve">), and other cultivated species (</w:t>
      </w:r>
      <w:r>
        <w:rPr>
          <w:i/>
          <w:iCs/>
        </w:rPr>
        <w:t xml:space="preserve">Olea</w:t>
      </w:r>
      <w:r>
        <w:t xml:space="preserve"> </w:t>
      </w:r>
      <w:r>
        <w:t xml:space="preserve">and</w:t>
      </w:r>
      <w:r>
        <w:t xml:space="preserve"> </w:t>
      </w:r>
      <w:r>
        <w:rPr>
          <w:i/>
          <w:iCs/>
        </w:rPr>
        <w:t xml:space="preserve">Coriandrum</w:t>
      </w:r>
      <w:r>
        <w:t xml:space="preserve">), as well as the exploitation of wild woody plants (</w:t>
      </w:r>
      <w:r>
        <w:rPr>
          <w:i/>
          <w:iCs/>
        </w:rPr>
        <w:t xml:space="preserve">Pinus</w:t>
      </w:r>
      <w:r>
        <w:t xml:space="preserve"> </w:t>
      </w:r>
      <w:r>
        <w:t xml:space="preserve">and</w:t>
      </w:r>
      <w:r>
        <w:t xml:space="preserve"> </w:t>
      </w:r>
      <w:r>
        <w:rPr>
          <w:i/>
          <w:iCs/>
        </w:rPr>
        <w:t xml:space="preserve">Arbutus</w:t>
      </w:r>
      <w:r>
        <w:t xml:space="preserve"> </w:t>
      </w:r>
      <w:r>
        <w:t xml:space="preserve">etc.) have been elucidated from the archaeological record</w:t>
      </w:r>
      <w:r>
        <w:t xml:space="preserve"> </w:t>
      </w:r>
      <w:r>
        <w:t xml:space="preserve">(</w:t>
      </w:r>
      <w:hyperlink w:anchor="ref-queiroz_etal06">
        <w:r>
          <w:rPr>
            <w:rStyle w:val="Hyperlink"/>
          </w:rPr>
          <w:t xml:space="preserve">Queiroz et al., 2006</w:t>
        </w:r>
      </w:hyperlink>
      <w:r>
        <w:t xml:space="preserve">)</w:t>
      </w:r>
      <w:r>
        <w:t xml:space="preserve">. Animals recovered from the excavation (native to Portugal) include cattle (</w:t>
      </w:r>
      <w:r>
        <w:rPr>
          <w:i/>
          <w:iCs/>
        </w:rPr>
        <w:t xml:space="preserve">Bos taurus</w:t>
      </w:r>
      <w:r>
        <w:t xml:space="preserve">), goat (</w:t>
      </w:r>
      <w:r>
        <w:rPr>
          <w:i/>
          <w:iCs/>
        </w:rPr>
        <w:t xml:space="preserve">Capra hircus</w:t>
      </w:r>
      <w:r>
        <w:t xml:space="preserve">), sheep (</w:t>
      </w:r>
      <w:r>
        <w:rPr>
          <w:i/>
          <w:iCs/>
        </w:rPr>
        <w:t xml:space="preserve">Ovis aries</w:t>
      </w:r>
      <w:r>
        <w:t xml:space="preserve">), pig (</w:t>
      </w:r>
      <w:r>
        <w:rPr>
          <w:i/>
          <w:iCs/>
        </w:rPr>
        <w:t xml:space="preserve">Sus scrofa/domesticus</w:t>
      </w:r>
      <w:r>
        <w:t xml:space="preserve">), red deer (</w:t>
      </w:r>
      <w:r>
        <w:rPr>
          <w:i/>
          <w:iCs/>
        </w:rPr>
        <w:t xml:space="preserve">Cervus elaphus</w:t>
      </w:r>
      <w:r>
        <w:t xml:space="preserve">), and rabbit (</w:t>
      </w:r>
      <w:r>
        <w:rPr>
          <w:i/>
          <w:iCs/>
        </w:rPr>
        <w:t xml:space="preserve">Oryctolagus cuniculus</w:t>
      </w:r>
      <w:r>
        <w:t xml:space="preserve">)</w:t>
      </w:r>
      <w:r>
        <w:t xml:space="preserve"> </w:t>
      </w:r>
      <w:r>
        <w:t xml:space="preserve">(</w:t>
      </w:r>
      <w:hyperlink w:anchor="ref-davis07">
        <w:r>
          <w:rPr>
            <w:rStyle w:val="Hyperlink"/>
          </w:rPr>
          <w:t xml:space="preserve">Davis, 2007</w:t>
        </w:r>
      </w:hyperlink>
      <w:r>
        <w:t xml:space="preserve">)</w:t>
      </w:r>
      <w:r>
        <w:t xml:space="preserve">. The arrival of chicken (</w:t>
      </w:r>
      <w:r>
        <w:rPr>
          <w:i/>
          <w:iCs/>
        </w:rPr>
        <w:t xml:space="preserve">Gallus domesticus</w:t>
      </w:r>
      <w:r>
        <w:t xml:space="preserve">) has been documented, being introduced at least in the second half of 5</w:t>
      </w:r>
      <w:r>
        <w:rPr>
          <w:vertAlign w:val="superscript"/>
        </w:rPr>
        <w:t xml:space="preserve">th</w:t>
      </w:r>
      <w:r>
        <w:t xml:space="preserve"> </w:t>
      </w:r>
      <w:r>
        <w:t xml:space="preserve">century BCE</w:t>
      </w:r>
      <w:r>
        <w:t xml:space="preserve"> </w:t>
      </w:r>
      <w:r>
        <w:t xml:space="preserve">(</w:t>
      </w:r>
      <w:hyperlink w:anchor="ref-davis07">
        <w:r>
          <w:rPr>
            <w:rStyle w:val="Hyperlink"/>
          </w:rPr>
          <w:t xml:space="preserve">Davis, 2007</w:t>
        </w:r>
      </w:hyperlink>
      <w:r>
        <w:t xml:space="preserve">)</w:t>
      </w:r>
      <w:r>
        <w:t xml:space="preserve">.</w:t>
      </w:r>
    </w:p>
    <w:bookmarkEnd w:id="30"/>
    <w:bookmarkStart w:id="35" w:name="geological-and-environmental-settings"/>
    <w:p>
      <w:pPr>
        <w:pStyle w:val="Heading2"/>
      </w:pPr>
      <w:r>
        <w:rPr>
          <w:rStyle w:val="SectionNumber"/>
        </w:rPr>
        <w:t xml:space="preserve">3.3</w:t>
      </w:r>
      <w:r>
        <w:tab/>
      </w:r>
      <w:r>
        <w:t xml:space="preserve">Geological and environmental settings</w:t>
      </w:r>
    </w:p>
    <w:p>
      <w:pPr>
        <w:pStyle w:val="CaptionedFigure"/>
      </w:pPr>
      <w:r>
        <w:drawing>
          <wp:inline>
            <wp:extent cx="6197600" cy="4234736"/>
            <wp:effectExtent b="0" l="0" r="0" t="0"/>
            <wp:docPr descr="Figure 2: Reconstruction of the Guadiana estuary during the Phoenician period based on geophysical and lithological data (adapted from Wachsmann et al. (2009))." title="" id="32" name="Picture"/>
            <a:graphic>
              <a:graphicData uri="http://schemas.openxmlformats.org/drawingml/2006/picture">
                <pic:pic>
                  <pic:nvPicPr>
                    <pic:cNvPr descr="C:/Users/rosha/Documents/R/Projects/castro_marim_phoenician/./images/castro_marim_pal.png" id="33" name="Picture"/>
                    <pic:cNvPicPr>
                      <a:picLocks noChangeArrowheads="1" noChangeAspect="1"/>
                    </pic:cNvPicPr>
                  </pic:nvPicPr>
                  <pic:blipFill>
                    <a:blip r:embed="rId31"/>
                    <a:stretch>
                      <a:fillRect/>
                    </a:stretch>
                  </pic:blipFill>
                  <pic:spPr bwMode="auto">
                    <a:xfrm>
                      <a:off x="0" y="0"/>
                      <a:ext cx="6197600" cy="4234736"/>
                    </a:xfrm>
                    <a:prstGeom prst="rect">
                      <a:avLst/>
                    </a:prstGeom>
                    <a:noFill/>
                    <a:ln w="9525">
                      <a:noFill/>
                      <a:headEnd/>
                      <a:tailEnd/>
                    </a:ln>
                  </pic:spPr>
                </pic:pic>
              </a:graphicData>
            </a:graphic>
          </wp:inline>
        </w:drawing>
      </w:r>
    </w:p>
    <w:p>
      <w:pPr>
        <w:pStyle w:val="ImageCaption"/>
      </w:pPr>
      <w:bookmarkStart w:id="34" w:name="fig:castro-marim-pal"/>
      <w:bookmarkEnd w:id="34"/>
      <w:r>
        <w:t xml:space="preserve">Figure 2: Reconstruction of the Guadiana estuary during the Phoenician period based on geophysical and lithological data (adapted from</w:t>
      </w:r>
      <w:r>
        <w:t xml:space="preserve"> </w:t>
      </w:r>
      <w:r>
        <w:t xml:space="preserve">Wachsmann et al. (</w:t>
      </w:r>
      <w:hyperlink w:anchor="ref-wachsmann_etal09">
        <w:r>
          <w:rPr>
            <w:rStyle w:val="Hyperlink"/>
          </w:rPr>
          <w:t xml:space="preserve">2009</w:t>
        </w:r>
      </w:hyperlink>
      <w:r>
        <w:t xml:space="preserve">)</w:t>
      </w:r>
      <w:r>
        <w:t xml:space="preserve">).</w:t>
      </w:r>
    </w:p>
    <w:p>
      <w:pPr>
        <w:pStyle w:val="BodyText"/>
      </w:pPr>
      <w:r>
        <w:t xml:space="preserve">The geology of Algarve region is constituted of the distinct Paleozoic southern Portuguese zone, and the Mesozoic and Cenozoic Algarve basin. Castro Marim is located on the edge of the Paleozoic zone bordering the Quaternary dunes towards the coast (Fig.</w:t>
      </w:r>
      <w:r>
        <w:t xml:space="preserve"> </w:t>
      </w:r>
      <w:r>
        <w:t xml:space="preserve">1</w:t>
      </w:r>
      <w:r>
        <w:t xml:space="preserve">). The area surrounding Castro Marim is a mosaic of the geological evolution involving marine transgressions, seismic and volcanic activities, and erosion</w:t>
      </w:r>
      <w:r>
        <w:t xml:space="preserve"> </w:t>
      </w:r>
      <w:r>
        <w:t xml:space="preserve">(</w:t>
      </w:r>
      <w:hyperlink w:anchor="ref-fletcher2005">
        <w:r>
          <w:rPr>
            <w:rStyle w:val="Hyperlink"/>
          </w:rPr>
          <w:t xml:space="preserve">Fletcher, 2005</w:t>
        </w:r>
      </w:hyperlink>
      <w:r>
        <w:t xml:space="preserve">)</w:t>
      </w:r>
      <w:r>
        <w:t xml:space="preserve">. The Paleozoic zone which is part of the Hesperic Massif which is primarily made up of carboniferous turbites. The narrow upper Triassic and lower Jurassic outcrops parallel to the Paleozoic zone, known as</w:t>
      </w:r>
      <w:r>
        <w:t xml:space="preserve"> </w:t>
      </w:r>
      <w:r>
        <w:t xml:space="preserve">“</w:t>
      </w:r>
      <w:r>
        <w:t xml:space="preserve">Grés de Silves</w:t>
      </w:r>
      <w:r>
        <w:t xml:space="preserve">”</w:t>
      </w:r>
      <w:r>
        <w:t xml:space="preserve"> </w:t>
      </w:r>
      <w:r>
        <w:t xml:space="preserve">consist of a series of conglomerates, sandstones, and clay stones. The Quaternary dunes consist of black clays which go back to 8000 years and the salt marsh developed during the last 5000 years</w:t>
      </w:r>
      <w:r>
        <w:t xml:space="preserve"> </w:t>
      </w:r>
      <w:r>
        <w:t xml:space="preserve">(</w:t>
      </w:r>
      <w:hyperlink w:anchor="ref-fletcher2005">
        <w:r>
          <w:rPr>
            <w:rStyle w:val="Hyperlink"/>
          </w:rPr>
          <w:t xml:space="preserve">Fletcher, 2005</w:t>
        </w:r>
      </w:hyperlink>
      <w:r>
        <w:t xml:space="preserve">;</w:t>
      </w:r>
      <w:r>
        <w:t xml:space="preserve"> </w:t>
      </w:r>
      <w:hyperlink w:anchor="ref-mouraetal2017">
        <w:r>
          <w:rPr>
            <w:rStyle w:val="Hyperlink"/>
          </w:rPr>
          <w:t xml:space="preserve">Moura et al., 2017</w:t>
        </w:r>
      </w:hyperlink>
      <w:r>
        <w:t xml:space="preserve">)</w:t>
      </w:r>
      <w:r>
        <w:t xml:space="preserve">. According to the author’s knowledge, there have been no published studies on sulfur isotopes of the geological formations around Castro Marim. Since Castro Marim is located at a distance less than 30 kilometers from the coastline, it is affected by the sea-spray effect. Oceanic sulfate salts in the form of aerosols get deposited in coastal regions. These aerosols have been reported to have δ</w:t>
      </w:r>
      <w:r>
        <w:rPr>
          <w:vertAlign w:val="superscript"/>
        </w:rPr>
        <w:t xml:space="preserve">34</w:t>
      </w:r>
      <w:r>
        <w:t xml:space="preserve">S isotope values around + 20.3‰ which is very distinctive from terrestrial sulfate salts</w:t>
      </w:r>
      <w:r>
        <w:t xml:space="preserve"> </w:t>
      </w:r>
      <w:r>
        <w:t xml:space="preserve">(</w:t>
      </w:r>
      <w:hyperlink w:anchor="ref-mcardleetal1998">
        <w:r>
          <w:rPr>
            <w:rStyle w:val="Hyperlink"/>
          </w:rPr>
          <w:t xml:space="preserve">McArdle et al., 1998</w:t>
        </w:r>
      </w:hyperlink>
      <w:r>
        <w:t xml:space="preserve">;</w:t>
      </w:r>
      <w:r>
        <w:t xml:space="preserve"> </w:t>
      </w:r>
      <w:hyperlink w:anchor="ref-normanetal2006">
        <w:r>
          <w:rPr>
            <w:rStyle w:val="Hyperlink"/>
          </w:rPr>
          <w:t xml:space="preserve">Norman et al., 2006</w:t>
        </w:r>
      </w:hyperlink>
      <w:r>
        <w:t xml:space="preserve">)</w:t>
      </w:r>
      <w:r>
        <w:t xml:space="preserve">. It is reported that the oceanic sulfate salts can increase the δ</w:t>
      </w:r>
      <w:r>
        <w:rPr>
          <w:vertAlign w:val="superscript"/>
        </w:rPr>
        <w:t xml:space="preserve">34</w:t>
      </w:r>
      <w:r>
        <w:t xml:space="preserve">S isotope values of terrestrial soils closest to the coast values up to + 18‰ with a gradual decrease up to + 10‰</w:t>
      </w:r>
      <w:r>
        <w:t xml:space="preserve"> </w:t>
      </w:r>
      <w:r>
        <w:t xml:space="preserve">(</w:t>
      </w:r>
      <w:hyperlink w:anchor="ref-wakshal_nielsen82">
        <w:r>
          <w:rPr>
            <w:rStyle w:val="Hyperlink"/>
          </w:rPr>
          <w:t xml:space="preserve">Wakshal and Nielsen, 1982</w:t>
        </w:r>
      </w:hyperlink>
      <w:r>
        <w:t xml:space="preserve">;</w:t>
      </w:r>
      <w:r>
        <w:t xml:space="preserve"> </w:t>
      </w:r>
      <w:hyperlink w:anchor="ref-mizota_sasaki96">
        <w:r>
          <w:rPr>
            <w:rStyle w:val="Hyperlink"/>
          </w:rPr>
          <w:t xml:space="preserve">Mizota and Sasaki, 1996</w:t>
        </w:r>
      </w:hyperlink>
      <w:r>
        <w:t xml:space="preserve">;</w:t>
      </w:r>
      <w:r>
        <w:t xml:space="preserve"> </w:t>
      </w:r>
      <w:hyperlink w:anchor="ref-nehlich15">
        <w:r>
          <w:rPr>
            <w:rStyle w:val="Hyperlink"/>
          </w:rPr>
          <w:t xml:space="preserve">Nehlich, 2015</w:t>
        </w:r>
      </w:hyperlink>
      <w:r>
        <w:t xml:space="preserve">)</w:t>
      </w:r>
      <w:r>
        <w:t xml:space="preserve">. For distances over 30 kilometers from the coast, no higher δ</w:t>
      </w:r>
      <w:r>
        <w:rPr>
          <w:vertAlign w:val="superscript"/>
        </w:rPr>
        <w:t xml:space="preserve">34</w:t>
      </w:r>
      <w:r>
        <w:t xml:space="preserve">S isotope values were observed</w:t>
      </w:r>
      <w:r>
        <w:t xml:space="preserve"> </w:t>
      </w:r>
      <w:r>
        <w:t xml:space="preserve">(</w:t>
      </w:r>
      <w:hyperlink w:anchor="ref-coulsonetal2005">
        <w:r>
          <w:rPr>
            <w:rStyle w:val="Hyperlink"/>
          </w:rPr>
          <w:t xml:space="preserve">Coulson et al., 2005</w:t>
        </w:r>
      </w:hyperlink>
      <w:r>
        <w:t xml:space="preserve">)</w:t>
      </w:r>
      <w:r>
        <w:t xml:space="preserve">. This range of δ</w:t>
      </w:r>
      <w:r>
        <w:rPr>
          <w:vertAlign w:val="superscript"/>
        </w:rPr>
        <w:t xml:space="preserve">34</w:t>
      </w:r>
      <w:r>
        <w:t xml:space="preserve">S isotope values can be utilised to determine if an animal is of coastal/non-coastal origin. As Castro Marim is located near the coast, we can extend the interpretation of coastal as local to a certain extent cautiously.</w:t>
      </w:r>
    </w:p>
    <w:p>
      <w:pPr>
        <w:pStyle w:val="BodyText"/>
      </w:pPr>
      <w:r>
        <w:t xml:space="preserve">Landscape surrounding during the Iron Age was quite different from what it is in modern times. Paleogeographic reconstruction based on geophysical and lithological data of the Guadiana estuary indicates muddy-bottom shallow estuarine setting at the mouth of the river during the Phoenician period, with the Iron Age settlement situated on a ridge projecting northward (Fig.</w:t>
      </w:r>
      <w:r>
        <w:t xml:space="preserve"> </w:t>
      </w:r>
      <w:r>
        <w:t xml:space="preserve">2</w:t>
      </w:r>
      <w:r>
        <w:t xml:space="preserve">) with a Pleistocene/mid-Holocene bedrock platform</w:t>
      </w:r>
      <w:r>
        <w:t xml:space="preserve"> </w:t>
      </w:r>
      <w:r>
        <w:t xml:space="preserve">(</w:t>
      </w:r>
      <w:hyperlink w:anchor="ref-wachsmann_etal09">
        <w:r>
          <w:rPr>
            <w:rStyle w:val="Hyperlink"/>
          </w:rPr>
          <w:t xml:space="preserve">Wachsmann et al., 2009</w:t>
        </w:r>
      </w:hyperlink>
      <w:r>
        <w:t xml:space="preserve">)</w:t>
      </w:r>
      <w:r>
        <w:t xml:space="preserve">. After the arrival of Phoenicians (874 BCE), there was a decline in pinewood,</w:t>
      </w:r>
      <w:r>
        <w:t xml:space="preserve"> </w:t>
      </w:r>
      <w:r>
        <w:rPr>
          <w:i/>
          <w:iCs/>
        </w:rPr>
        <w:t xml:space="preserve">Quercus</w:t>
      </w:r>
      <w:r>
        <w:t xml:space="preserve"> </w:t>
      </w:r>
      <w:r>
        <w:t xml:space="preserve">forest, and sclerophyllous thickets with an increase in scrub vegetation consisting of fire-adapted Cistaceae and Ericaceae</w:t>
      </w:r>
      <w:r>
        <w:t xml:space="preserve"> </w:t>
      </w:r>
      <w:r>
        <w:t xml:space="preserve">(</w:t>
      </w:r>
      <w:hyperlink w:anchor="ref-fletcher_etal07">
        <w:r>
          <w:rPr>
            <w:rStyle w:val="Hyperlink"/>
          </w:rPr>
          <w:t xml:space="preserve">Fletcher et al., 2007</w:t>
        </w:r>
      </w:hyperlink>
      <w:r>
        <w:t xml:space="preserve">)</w:t>
      </w:r>
      <w:r>
        <w:t xml:space="preserve">. This is due to prevailing warm and dry climatic conditions corresponding to a more arid regime across southern Iberia</w:t>
      </w:r>
      <w:r>
        <w:t xml:space="preserve"> </w:t>
      </w:r>
      <w:r>
        <w:t xml:space="preserve">(</w:t>
      </w:r>
      <w:hyperlink w:anchor="ref-jalut_etal00">
        <w:r>
          <w:rPr>
            <w:rStyle w:val="Hyperlink"/>
          </w:rPr>
          <w:t xml:space="preserve">Jalut et al., 2000</w:t>
        </w:r>
      </w:hyperlink>
      <w:r>
        <w:t xml:space="preserve">;</w:t>
      </w:r>
      <w:r>
        <w:t xml:space="preserve"> </w:t>
      </w:r>
      <w:hyperlink w:anchor="ref-magny_etal02">
        <w:r>
          <w:rPr>
            <w:rStyle w:val="Hyperlink"/>
          </w:rPr>
          <w:t xml:space="preserve">Magny et al., 2002</w:t>
        </w:r>
      </w:hyperlink>
      <w:r>
        <w:t xml:space="preserve">)</w:t>
      </w:r>
      <w:r>
        <w:t xml:space="preserve">.</w:t>
      </w:r>
    </w:p>
    <w:bookmarkEnd w:id="35"/>
    <w:bookmarkStart w:id="36" w:name="archaeobotanical-assessment"/>
    <w:p>
      <w:pPr>
        <w:pStyle w:val="Heading2"/>
      </w:pPr>
      <w:r>
        <w:rPr>
          <w:rStyle w:val="SectionNumber"/>
        </w:rPr>
        <w:t xml:space="preserve">3.4</w:t>
      </w:r>
      <w:r>
        <w:tab/>
      </w:r>
      <w:r>
        <w:t xml:space="preserve">Archaeobotanical assessment</w:t>
      </w:r>
    </w:p>
    <w:p>
      <w:pPr>
        <w:pStyle w:val="FirstParagraph"/>
      </w:pPr>
      <w:r>
        <w:t xml:space="preserve">The original archaeobotanical assessment was carried out by</w:t>
      </w:r>
      <w:r>
        <w:t xml:space="preserve"> </w:t>
      </w:r>
      <w:r>
        <w:t xml:space="preserve">Queiroz et al. (</w:t>
      </w:r>
      <w:hyperlink w:anchor="ref-queiroz_etal06">
        <w:r>
          <w:rPr>
            <w:rStyle w:val="Hyperlink"/>
          </w:rPr>
          <w:t xml:space="preserve">2006</w:t>
        </w:r>
      </w:hyperlink>
      <w:r>
        <w:t xml:space="preserve">)</w:t>
      </w:r>
      <w:r>
        <w:t xml:space="preserve">. The assessment reported charcoal, fruits, and seeds recovered from all the archaeological phases of the site. As the current study focuses on the period between 7</w:t>
      </w:r>
      <w:r>
        <w:rPr>
          <w:vertAlign w:val="superscript"/>
        </w:rPr>
        <w:t xml:space="preserve">th</w:t>
      </w:r>
      <w:r>
        <w:t xml:space="preserve"> </w:t>
      </w:r>
      <w:r>
        <w:t xml:space="preserve">- 5</w:t>
      </w:r>
      <w:r>
        <w:rPr>
          <w:vertAlign w:val="superscript"/>
        </w:rPr>
        <w:t xml:space="preserve">the</w:t>
      </w:r>
      <w:r>
        <w:t xml:space="preserve"> </w:t>
      </w:r>
      <w:r>
        <w:t xml:space="preserve">century BCE, the findings from the relevant stratigraphic units from phases III-V are summarized below. The sediments from phase III did not yield any macro-botanical remains. In phase IV, pine cones (</w:t>
      </w:r>
      <w:r>
        <w:rPr>
          <w:i/>
          <w:iCs/>
        </w:rPr>
        <w:t xml:space="preserve">Pinus pinea</w:t>
      </w:r>
      <w:r>
        <w:t xml:space="preserve">) accounted for 44.34% of the 41 individual seeds and fruits recovered. Barley accounted for 31.7%,</w:t>
      </w:r>
      <w:r>
        <w:t xml:space="preserve"> </w:t>
      </w:r>
      <w:r>
        <w:rPr>
          <w:i/>
          <w:iCs/>
        </w:rPr>
        <w:t xml:space="preserve">Vicia faba</w:t>
      </w:r>
      <w:r>
        <w:t xml:space="preserve">, present in Portugal since prehistoric times for 17%, and finally acorns</w:t>
      </w:r>
      <w:r>
        <w:t xml:space="preserve"> </w:t>
      </w:r>
      <w:r>
        <w:rPr>
          <w:i/>
          <w:iCs/>
        </w:rPr>
        <w:t xml:space="preserve">Quercus</w:t>
      </w:r>
      <w:r>
        <w:t xml:space="preserve"> </w:t>
      </w:r>
      <w:r>
        <w:t xml:space="preserve">sp. for 5%. Cereals make up 95.3% of the total recovered carpological remains (n = 3109) in phase V. The bulk of cereals is barley (</w:t>
      </w:r>
      <w:r>
        <w:rPr>
          <w:i/>
          <w:iCs/>
        </w:rPr>
        <w:t xml:space="preserve">Hordeum vulgare</w:t>
      </w:r>
      <w:r>
        <w:t xml:space="preserve">) with a tiny fraction of wheat (</w:t>
      </w:r>
      <w:r>
        <w:rPr>
          <w:i/>
          <w:iCs/>
        </w:rPr>
        <w:t xml:space="preserve">Triticum durum/aestivum</w:t>
      </w:r>
      <w:r>
        <w:t xml:space="preserve">). Of the remaining 3.7%, broad beans (</w:t>
      </w:r>
      <w:r>
        <w:rPr>
          <w:i/>
          <w:iCs/>
        </w:rPr>
        <w:t xml:space="preserve">Vicia faba</w:t>
      </w:r>
      <w:r>
        <w:t xml:space="preserve">) were the bulk of the pulses while the chickpeas (</w:t>
      </w:r>
      <w:r>
        <w:rPr>
          <w:i/>
          <w:iCs/>
        </w:rPr>
        <w:t xml:space="preserve">Cicer arietinum</w:t>
      </w:r>
      <w:r>
        <w:t xml:space="preserve">), introduced from Asia, were considered a luxury food in the Roman period were sparsely present (0.6%). The presence of grape (</w:t>
      </w:r>
      <w:r>
        <w:rPr>
          <w:i/>
          <w:iCs/>
        </w:rPr>
        <w:t xml:space="preserve">Vitis vinifera</w:t>
      </w:r>
      <w:r>
        <w:t xml:space="preserve">) pips and charred wood is typical, starting from the Phoenician period in Portugal. The presence of grape pips in Iron Age Castro Marim indicates exploitation of wild vines or cultivated non-local vines by the local population. The most exciting carpological remains are of coriander (</w:t>
      </w:r>
      <w:r>
        <w:rPr>
          <w:i/>
          <w:iCs/>
        </w:rPr>
        <w:t xml:space="preserve">Coriandrum sativum</w:t>
      </w:r>
      <w:r>
        <w:t xml:space="preserve">), which is not native to Portugal and was supposed to be introduced during medieval times, making this the earliest coriander occurrence in Portugal. Charred pine, oak, ash, and poplar wood were recovered abundantly. The exploitation of wild woody plants for timber and fruits marks the Phoenician colonization of the Iberian Peninsula. Due to unforeseen circumstances, these identified remains could not be accessed for isotope analyses. Previously unprocessed sediments were studied again to gain plant remains.</w:t>
      </w:r>
    </w:p>
    <w:bookmarkEnd w:id="36"/>
    <w:bookmarkStart w:id="37" w:name="zooarchaeological-assessment"/>
    <w:p>
      <w:pPr>
        <w:pStyle w:val="Heading2"/>
      </w:pPr>
      <w:r>
        <w:rPr>
          <w:rStyle w:val="SectionNumber"/>
        </w:rPr>
        <w:t xml:space="preserve">3.5</w:t>
      </w:r>
      <w:r>
        <w:tab/>
      </w:r>
      <w:r>
        <w:t xml:space="preserve">Zooarchaeological assessment</w:t>
      </w:r>
    </w:p>
    <w:p>
      <w:pPr>
        <w:pStyle w:val="FirstParagraph"/>
      </w:pPr>
      <w:r>
        <w:t xml:space="preserve">Based on normalized counts of skeletal remains (NISP) from phases III-V, ovicaprids (sheep and goats) make up 23.3% of the Castro Marim assemblage, followed by cattle at 6.7% and pigs at 6.1%, dominating the mammalian taxa</w:t>
      </w:r>
      <w:r>
        <w:t xml:space="preserve"> </w:t>
      </w:r>
      <w:r>
        <w:t xml:space="preserve">(</w:t>
      </w:r>
      <w:hyperlink w:anchor="ref-davis07">
        <w:r>
          <w:rPr>
            <w:rStyle w:val="Hyperlink"/>
          </w:rPr>
          <w:t xml:space="preserve">Davis, 2007</w:t>
        </w:r>
      </w:hyperlink>
      <w:r>
        <w:t xml:space="preserve">)</w:t>
      </w:r>
      <w:r>
        <w:t xml:space="preserve">. Both sheep and goats were equally represented with negligible fluctuations throughout the Iron Age at Castro Marim. In wild species, red deer made up 2.7% of the identified bones and while the rabbits accounted for 3.4%. Both species (red deer and rabbits) are present consistently in all the phases of the settlement. It is worth mentioning here that no morphometric distinction could be made between wild and domesticated pigs. There is a spike in the presence of bird remains in the later phases of the Iron Age (Phase IV-V), primarily due to the introduction of domesticated chicken. The presence of partridge (</w:t>
      </w:r>
      <w:r>
        <w:rPr>
          <w:i/>
          <w:iCs/>
        </w:rPr>
        <w:t xml:space="preserve">Alectoris rufa</w:t>
      </w:r>
      <w:r>
        <w:t xml:space="preserve">), a common wild species of Iberia, is also noted. Unlike the chicken, partridge has never been domesticated. Ovicaprids and cattle were kept well into maturity indicating that they were prized more for their secondary purposes than their meat. Sheep and goats were kept for their milk and wool, usually slaughtered after they reached at least two years of age. Cattle were valued for their power to plow in the fields as well as to pull heavy loads. Also, they too, were a source of milk. Pigs, on the other hand, were slaughtered as juveniles as they were primarily reared for meat. Most of the red deer found were adults, suggesting a hunting preference of that period as a vital subsidiary source of meat. Chicken seems to be slaughtered at a young age, indicating their domesticated status, while partridges were slaughtered at an adult age, suggesting they were wild.</w:t>
      </w:r>
    </w:p>
    <w:bookmarkEnd w:id="37"/>
    <w:bookmarkEnd w:id="38"/>
    <w:bookmarkStart w:id="46" w:name="materials-and-methods"/>
    <w:p>
      <w:pPr>
        <w:pStyle w:val="Heading1"/>
      </w:pPr>
      <w:r>
        <w:rPr>
          <w:rStyle w:val="SectionNumber"/>
        </w:rPr>
        <w:t xml:space="preserve">4</w:t>
      </w:r>
      <w:r>
        <w:tab/>
      </w:r>
      <w:r>
        <w:t xml:space="preserve">Materials and Methods</w:t>
      </w:r>
    </w:p>
    <w:p>
      <w:pPr>
        <w:pStyle w:val="FirstParagraph"/>
      </w:pPr>
      <w:r>
        <w:rPr>
          <w:b/>
          <w:bCs/>
        </w:rPr>
        <w:t xml:space="preserve">&lt;—————————Table 2————————–&gt;</w:t>
      </w:r>
    </w:p>
    <w:bookmarkStart w:id="39" w:name="archaeobotanical-analysis"/>
    <w:p>
      <w:pPr>
        <w:pStyle w:val="Heading2"/>
      </w:pPr>
      <w:r>
        <w:rPr>
          <w:rStyle w:val="SectionNumber"/>
        </w:rPr>
        <w:t xml:space="preserve">4.1</w:t>
      </w:r>
      <w:r>
        <w:tab/>
      </w:r>
      <w:r>
        <w:t xml:space="preserve">Archaeobotanical analysis</w:t>
      </w:r>
    </w:p>
    <w:p>
      <w:pPr>
        <w:pStyle w:val="FirstParagraph"/>
      </w:pPr>
      <w:r>
        <w:t xml:space="preserve">200 grams of sediment from each stratigraphic layer of phases III and IV along with the layers corresponding to the 5</w:t>
      </w:r>
      <w:r>
        <w:rPr>
          <w:vertAlign w:val="superscript"/>
        </w:rPr>
        <w:t xml:space="preserve">th</w:t>
      </w:r>
      <w:r>
        <w:t xml:space="preserve"> </w:t>
      </w:r>
      <w:r>
        <w:t xml:space="preserve">century BCE from phase V of the excavation site was weighed and handpicked for plant macro remains (seeds/fruits and charcoal). The recovered remains were examined under a stereomicroscope and taxonomically identified (Table 1).</w:t>
      </w:r>
    </w:p>
    <w:bookmarkEnd w:id="39"/>
    <w:bookmarkStart w:id="40" w:name="sample-selection"/>
    <w:p>
      <w:pPr>
        <w:pStyle w:val="Heading2"/>
      </w:pPr>
      <w:r>
        <w:rPr>
          <w:rStyle w:val="SectionNumber"/>
        </w:rPr>
        <w:t xml:space="preserve">4.2</w:t>
      </w:r>
      <w:r>
        <w:tab/>
      </w:r>
      <w:r>
        <w:t xml:space="preserve">Sample selection</w:t>
      </w:r>
    </w:p>
    <w:p>
      <w:pPr>
        <w:pStyle w:val="FirstParagraph"/>
      </w:pPr>
      <w:r>
        <w:rPr>
          <w:b/>
          <w:bCs/>
        </w:rPr>
        <w:t xml:space="preserve">&lt;—————————Table 3————————–&gt;</w:t>
      </w:r>
    </w:p>
    <w:p>
      <w:pPr>
        <w:pStyle w:val="BodyText"/>
      </w:pPr>
      <w:r>
        <w:t xml:space="preserve">Nine charred plant macroremains (Table 2) of</w:t>
      </w:r>
      <w:r>
        <w:t xml:space="preserve"> </w:t>
      </w:r>
      <w:r>
        <w:rPr>
          <w:i/>
          <w:iCs/>
        </w:rPr>
        <w:t xml:space="preserve">Hordeum vulgare</w:t>
      </w:r>
      <w:r>
        <w:t xml:space="preserve"> </w:t>
      </w:r>
      <w:r>
        <w:t xml:space="preserve">subsp.</w:t>
      </w:r>
      <w:r>
        <w:t xml:space="preserve"> </w:t>
      </w:r>
      <w:r>
        <w:rPr>
          <w:i/>
          <w:iCs/>
        </w:rPr>
        <w:t xml:space="preserve">vulgare</w:t>
      </w:r>
      <w:r>
        <w:t xml:space="preserve">,</w:t>
      </w:r>
      <w:r>
        <w:t xml:space="preserve"> </w:t>
      </w:r>
      <w:r>
        <w:rPr>
          <w:i/>
          <w:iCs/>
        </w:rPr>
        <w:t xml:space="preserve">Hordeum vulgare</w:t>
      </w:r>
      <w:r>
        <w:t xml:space="preserve"> </w:t>
      </w:r>
      <w:r>
        <w:t xml:space="preserve">subsp.</w:t>
      </w:r>
      <w:r>
        <w:t xml:space="preserve"> </w:t>
      </w:r>
      <w:r>
        <w:rPr>
          <w:i/>
          <w:iCs/>
        </w:rPr>
        <w:t xml:space="preserve">nudum</w:t>
      </w:r>
      <w:r>
        <w:t xml:space="preserve">, and</w:t>
      </w:r>
      <w:r>
        <w:t xml:space="preserve"> </w:t>
      </w:r>
      <w:r>
        <w:rPr>
          <w:i/>
          <w:iCs/>
        </w:rPr>
        <w:t xml:space="preserve">Pinus pinea</w:t>
      </w:r>
      <w:r>
        <w:t xml:space="preserve"> </w:t>
      </w:r>
      <w:r>
        <w:t xml:space="preserve">each. Three grains of each barley cultivar and 3 shell fragments of pine shells were crushed in to a homogeneous powder to make a representative sample with sufficient mass for measuring stable carbon and nitrogen isotopes. Fifty faunal bone samples (Table 3) from conclusively adult individuals have been selected for this study. The sampled faunal bones represent the Phoenician-Punic period of the settlement (phases III, IV, and V), whereas the charred plant macroremains are only from phase V due to the absence of plant remains from the older phases.</w:t>
      </w:r>
    </w:p>
    <w:bookmarkEnd w:id="40"/>
    <w:bookmarkStart w:id="41" w:name="pretreatment-of-plant-macro-remains"/>
    <w:p>
      <w:pPr>
        <w:pStyle w:val="Heading2"/>
      </w:pPr>
      <w:r>
        <w:rPr>
          <w:rStyle w:val="SectionNumber"/>
        </w:rPr>
        <w:t xml:space="preserve">4.3</w:t>
      </w:r>
      <w:r>
        <w:tab/>
      </w:r>
      <w:r>
        <w:t xml:space="preserve">Pretreatment of plant macro-remains</w:t>
      </w:r>
    </w:p>
    <w:p>
      <w:pPr>
        <w:pStyle w:val="FirstParagraph"/>
      </w:pPr>
      <w:r>
        <w:t xml:space="preserve">In carbonized plant macro-remains, barley caryopses samples consist of at least ten whole grains, and pine samples consist of shell fragments. Morphologically intact samples were chosen after examination under a stereomicroscope (7-45x magnification) and removing any visibly adhering foreign contaminant. An acid-base-acid (ABA) treatment was applied as a pre-treatment</w:t>
      </w:r>
      <w:r>
        <w:t xml:space="preserve"> </w:t>
      </w:r>
      <w:r>
        <w:t xml:space="preserve">(</w:t>
      </w:r>
      <w:hyperlink w:anchor="ref-bogaard_etal13">
        <w:r>
          <w:rPr>
            <w:rStyle w:val="Hyperlink"/>
          </w:rPr>
          <w:t xml:space="preserve">Bogaard et al., 2013</w:t>
        </w:r>
      </w:hyperlink>
      <w:r>
        <w:t xml:space="preserve">;</w:t>
      </w:r>
      <w:r>
        <w:t xml:space="preserve"> </w:t>
      </w:r>
      <w:hyperlink w:anchor="ref-fraser_etal13a">
        <w:r>
          <w:rPr>
            <w:rStyle w:val="Hyperlink"/>
          </w:rPr>
          <w:t xml:space="preserve">Fraser et al., 2013</w:t>
        </w:r>
      </w:hyperlink>
      <w:r>
        <w:t xml:space="preserve">)</w:t>
      </w:r>
      <w:r>
        <w:t xml:space="preserve">. First, the samples were treated with 10 mL of 0.5 M HCl at 70 °C for 60 minutes (or until effervescing stops) and then rinsed with ultrapure water until a neutral pH was achieved. 10 mL of 0.1 NaOH solution was added to the samples at 70 °C for 60 minutes and then rinsed with ultrapure water to achieve a neutral pH. Finally, the samples were treated with 0.5 M HCl at 70 °C for 30-60 minutes, followed by three rinses with ultrapure water and subsequent freeze-drying.</w:t>
      </w:r>
    </w:p>
    <w:bookmarkEnd w:id="41"/>
    <w:bookmarkStart w:id="42" w:name="collagen-extraction"/>
    <w:p>
      <w:pPr>
        <w:pStyle w:val="Heading2"/>
      </w:pPr>
      <w:r>
        <w:rPr>
          <w:rStyle w:val="SectionNumber"/>
        </w:rPr>
        <w:t xml:space="preserve">4.4</w:t>
      </w:r>
      <w:r>
        <w:tab/>
      </w:r>
      <w:r>
        <w:t xml:space="preserve">Collagen extraction</w:t>
      </w:r>
    </w:p>
    <w:p>
      <w:pPr>
        <w:pStyle w:val="FirstParagraph"/>
      </w:pPr>
      <w:r>
        <w:t xml:space="preserve">500 – 700 mg of bone was cut using a DREMEL</w:t>
      </w:r>
      <w:r>
        <w:rPr>
          <w:vertAlign w:val="superscript"/>
        </w:rPr>
        <w:t xml:space="preserve">®</w:t>
      </w:r>
      <w:r>
        <w:t xml:space="preserve"> </w:t>
      </w:r>
      <w:r>
        <w:t xml:space="preserve">rotary drill with a diamond disc and cleaned of dirt, discoloration, and other foreign content with a dental burr. Compact bone was sampled over spongy bone. The modified</w:t>
      </w:r>
      <w:r>
        <w:t xml:space="preserve"> </w:t>
      </w:r>
      <w:r>
        <w:t xml:space="preserve">Longin (</w:t>
      </w:r>
      <w:hyperlink w:anchor="ref-longin71">
        <w:r>
          <w:rPr>
            <w:rStyle w:val="Hyperlink"/>
          </w:rPr>
          <w:t xml:space="preserve">1971</w:t>
        </w:r>
      </w:hyperlink>
      <w:r>
        <w:t xml:space="preserve">)</w:t>
      </w:r>
      <w:r>
        <w:t xml:space="preserve"> </w:t>
      </w:r>
      <w:r>
        <w:t xml:space="preserve">method was used to extract collagen from faunal bones pieces previously analysed with FTIR by demineralization</w:t>
      </w:r>
      <w:r>
        <w:t xml:space="preserve"> </w:t>
      </w:r>
      <w:r>
        <w:t xml:space="preserve">(</w:t>
      </w:r>
      <w:hyperlink w:anchor="ref-richards_hedges99">
        <w:r>
          <w:rPr>
            <w:rStyle w:val="Hyperlink"/>
          </w:rPr>
          <w:t xml:space="preserve">Richards and Hedges, 1999</w:t>
        </w:r>
      </w:hyperlink>
      <w:r>
        <w:t xml:space="preserve">)</w:t>
      </w:r>
      <w:r>
        <w:t xml:space="preserve">. Approximately 600 mg of bone sample was demineralized using 0.5 M HCl at 4 °C for a fortnight with daily vortex and an acid change after 7 days. Repeated rinses with ultrapure water to reach neutral pH were performed, and the demineralized bones were subjected to an overnight treatment in 0.125 M NaOH at room temperature to remove fulvic and humic acid contamination. The samples were then rinsed repeatedly with ultrapure water to achieve neutrality and gelatinized in 0.01 M HCl at 70 °C for 48 hours. The impurities were separated by filtering the collagen-containing liquid fraction using Ezee – Filter</w:t>
      </w:r>
      <w:r>
        <w:rPr>
          <w:vertAlign w:val="superscript"/>
        </w:rPr>
        <w:t xml:space="preserve">™</w:t>
      </w:r>
      <w:r>
        <w:t xml:space="preserve"> </w:t>
      </w:r>
      <w:r>
        <w:t xml:space="preserve">filters (Elkay</w:t>
      </w:r>
      <w:r>
        <w:rPr>
          <w:vertAlign w:val="superscript"/>
        </w:rPr>
        <w:t xml:space="preserve">®</w:t>
      </w:r>
      <w:r>
        <w:t xml:space="preserve"> </w:t>
      </w:r>
      <w:r>
        <w:t xml:space="preserve">Laboratory Products). The solubilized collagen was frozen and subsequently lyophilized for 48 hours.</w:t>
      </w:r>
    </w:p>
    <w:bookmarkEnd w:id="42"/>
    <w:bookmarkStart w:id="43" w:name="zooms-analysis"/>
    <w:p>
      <w:pPr>
        <w:pStyle w:val="Heading2"/>
      </w:pPr>
      <w:r>
        <w:rPr>
          <w:rStyle w:val="SectionNumber"/>
        </w:rPr>
        <w:t xml:space="preserve">4.5</w:t>
      </w:r>
      <w:r>
        <w:tab/>
      </w:r>
      <w:r>
        <w:t xml:space="preserve">ZooMS analysis</w:t>
      </w:r>
    </w:p>
    <w:p>
      <w:pPr>
        <w:pStyle w:val="FirstParagraph"/>
      </w:pPr>
      <w:r>
        <w:t xml:space="preserve">A small subsample of the extracted collagen was placed into a microfuge tube and 100 µL 50mM ammonium bicarbonate (AmBic) was added to the samples. The samples were digested overnight using 1 µL of 0.5 µg/µL porcine trypsin (Promega</w:t>
      </w:r>
      <w:r>
        <w:rPr>
          <w:vertAlign w:val="superscript"/>
        </w:rPr>
        <w:t xml:space="preserve">®</w:t>
      </w:r>
      <w:r>
        <w:t xml:space="preserve">, UK) at 37 °C and the digestion was stopped by the addition of trifluoroacetic acid (TFA) at a concentration of 0.5–1% of the total solution. The samples were desalted using C18 zip-tips</w:t>
      </w:r>
      <w:r>
        <w:t xml:space="preserve"> </w:t>
      </w:r>
      <w:r>
        <w:t xml:space="preserve">(</w:t>
      </w:r>
      <w:hyperlink w:anchor="ref-vandoorn_etal11">
        <w:r>
          <w:rPr>
            <w:rStyle w:val="Hyperlink"/>
          </w:rPr>
          <w:t xml:space="preserve">van Doorn et al., 2011</w:t>
        </w:r>
      </w:hyperlink>
      <w:r>
        <w:t xml:space="preserve">)</w:t>
      </w:r>
      <w:r>
        <w:t xml:space="preserve"> </w:t>
      </w:r>
      <w:r>
        <w:t xml:space="preserve">and eluted using 100 µL of 50% acetonitrile (ACN)/0.1% TFA (v/v). The zip-tipped samples were spotted in triplicate onto a MTP384 Bruker ground steel MALDI target plate; 1 µL of sample was pipetted onto each sample spot and then mixed with 1 µL of α-cyano-4-hydroxycinnamic acid matrix solution (1% in 50% acetonitrile / 0.1% trifluoroacetic acid (v/v/v)).</w:t>
      </w:r>
    </w:p>
    <w:p>
      <w:pPr>
        <w:pStyle w:val="BodyText"/>
      </w:pPr>
      <w:r>
        <w:t xml:space="preserve">The samples were analysed on a Bruker</w:t>
      </w:r>
      <w:r>
        <w:rPr>
          <w:vertAlign w:val="superscript"/>
        </w:rPr>
        <w:t xml:space="preserve">®</w:t>
      </w:r>
      <w:r>
        <w:t xml:space="preserve"> </w:t>
      </w:r>
      <w:r>
        <w:t xml:space="preserve">Ultraflex III</w:t>
      </w:r>
      <w:r>
        <w:rPr>
          <w:vertAlign w:val="superscript"/>
        </w:rPr>
        <w:t xml:space="preserve">™</w:t>
      </w:r>
      <w:r>
        <w:t xml:space="preserve"> </w:t>
      </w:r>
      <w:r>
        <w:t xml:space="preserve">MALDI-ToF mass spectrometer. The resulting MS spectra were analysed using mMass</w:t>
      </w:r>
      <w:r>
        <w:t xml:space="preserve"> </w:t>
      </w:r>
      <w:r>
        <w:t xml:space="preserve">(</w:t>
      </w:r>
      <w:hyperlink w:anchor="ref-strohalm_etal10">
        <w:r>
          <w:rPr>
            <w:rStyle w:val="Hyperlink"/>
          </w:rPr>
          <w:t xml:space="preserve">Strohalm et al., 2010</w:t>
        </w:r>
      </w:hyperlink>
      <w:r>
        <w:t xml:space="preserve">)</w:t>
      </w:r>
      <w:r>
        <w:t xml:space="preserve"> </w:t>
      </w:r>
      <w:r>
        <w:t xml:space="preserve">an Open Source mass spectrometry interpretation tool. The three spectra for each sample were averaged and the averaged spectrum was cropped between 800 and 3000 m/z and peak picking was carried out using a signal to noise ratio of 6. The resulting spectra were compared to a publicly available ZooMS database.</w:t>
      </w:r>
    </w:p>
    <w:bookmarkEnd w:id="43"/>
    <w:bookmarkStart w:id="44" w:name="stable-isotope-analysis"/>
    <w:p>
      <w:pPr>
        <w:pStyle w:val="Heading2"/>
      </w:pPr>
      <w:r>
        <w:rPr>
          <w:rStyle w:val="SectionNumber"/>
        </w:rPr>
        <w:t xml:space="preserve">4.6</w:t>
      </w:r>
      <w:r>
        <w:tab/>
      </w:r>
      <w:r>
        <w:t xml:space="preserve">Stable isotope analysis</w:t>
      </w:r>
    </w:p>
    <w:p>
      <w:pPr>
        <w:pStyle w:val="FirstParagraph"/>
      </w:pPr>
      <w:r>
        <w:t xml:space="preserve">An amount of 0.5 - 0.7 mg of freeze-dried collagen powder/barley grain samples were weighed in tin capsules and combusted in an elemental analyzer (EA) with oxygen (Flash 2000 HT</w:t>
      </w:r>
      <w:r>
        <w:rPr>
          <w:vertAlign w:val="superscript"/>
        </w:rPr>
        <w:t xml:space="preserve">™</w:t>
      </w:r>
      <w:r>
        <w:t xml:space="preserve">, Thermo Fisher Scientific</w:t>
      </w:r>
      <w:r>
        <w:rPr>
          <w:vertAlign w:val="superscript"/>
        </w:rPr>
        <w:t xml:space="preserve">®</w:t>
      </w:r>
      <w:r>
        <w:t xml:space="preserve">, Bremen, Germany) using pure helium as carrier gas. Isotopic ratios were obtained on a Delta V Advantage Continuous Flow</w:t>
      </w:r>
      <w:r>
        <w:rPr>
          <w:vertAlign w:val="superscript"/>
        </w:rPr>
        <w:t xml:space="preserve">™</w:t>
      </w:r>
      <w:r>
        <w:t xml:space="preserve"> </w:t>
      </w:r>
      <w:r>
        <w:t xml:space="preserve">– Isotope Ratio Mass Spectrometer (Thermo Fisher Scientific</w:t>
      </w:r>
      <w:r>
        <w:rPr>
          <w:vertAlign w:val="superscript"/>
        </w:rPr>
        <w:t xml:space="preserve">®</w:t>
      </w:r>
      <w:r>
        <w:t xml:space="preserve">, Bremen, Germany). The raw machine output was normalized by a three-point calibration using international standard reference materials (SRM), namely IAEA-CH-6 (sucrose, δ</w:t>
      </w:r>
      <w:r>
        <w:rPr>
          <w:vertAlign w:val="superscript"/>
        </w:rPr>
        <w:t xml:space="preserve">13</w:t>
      </w:r>
      <w:r>
        <w:t xml:space="preserve">C = – 10.499‰), IAEA-600 (caffeine, δ</w:t>
      </w:r>
      <w:r>
        <w:rPr>
          <w:vertAlign w:val="superscript"/>
        </w:rPr>
        <w:t xml:space="preserve">13</w:t>
      </w:r>
      <w:r>
        <w:t xml:space="preserve">C = – 27.771‰; δ</w:t>
      </w:r>
      <w:r>
        <w:rPr>
          <w:vertAlign w:val="superscript"/>
        </w:rPr>
        <w:t xml:space="preserve">15</w:t>
      </w:r>
      <w:r>
        <w:t xml:space="preserve">N = + 1‰), and IAEA-N-2 (Ammonium Sulphate, δ</w:t>
      </w:r>
      <w:r>
        <w:rPr>
          <w:vertAlign w:val="superscript"/>
        </w:rPr>
        <w:t xml:space="preserve">15</w:t>
      </w:r>
      <w:r>
        <w:t xml:space="preserve">N = + 20.3‰) and in-house standard L-Alanine (δ</w:t>
      </w:r>
      <w:r>
        <w:rPr>
          <w:vertAlign w:val="superscript"/>
        </w:rPr>
        <w:t xml:space="preserve">13</w:t>
      </w:r>
      <w:r>
        <w:t xml:space="preserve">C = – 18.4‰; δ</w:t>
      </w:r>
      <w:r>
        <w:rPr>
          <w:vertAlign w:val="superscript"/>
        </w:rPr>
        <w:t xml:space="preserve">15</w:t>
      </w:r>
      <w:r>
        <w:t xml:space="preserve">N = + 0.9‰). The standards were regularly (after eleven analyses) included in the analytical routine to correct for instrumental drifts. The isotope values are expressed in per mil (‰) relative to VPDB (Vienna Pee-Dee Belemnite) for carbon and AIR (Ambient Inhalable Reservoir) for nitrogen. Precision (u</w:t>
      </w:r>
      <w:r>
        <w:rPr>
          <w:vertAlign w:val="subscript"/>
        </w:rPr>
        <w:t xml:space="preserve">(RW)</w:t>
      </w:r>
      <w:r>
        <w:t xml:space="preserve">) for δ</w:t>
      </w:r>
      <w:r>
        <w:rPr>
          <w:vertAlign w:val="superscript"/>
        </w:rPr>
        <w:t xml:space="preserve">13</w:t>
      </w:r>
      <w:r>
        <w:t xml:space="preserve">C and δ</w:t>
      </w:r>
      <w:r>
        <w:rPr>
          <w:vertAlign w:val="superscript"/>
        </w:rPr>
        <w:t xml:space="preserve">15</w:t>
      </w:r>
      <w:r>
        <w:t xml:space="preserve">N was determined to be ± 0.116 and ± 0.092 respectively in the basis of repeated measurement of calibration standards and check standards. Accuracy (u</w:t>
      </w:r>
      <w:r>
        <w:rPr>
          <w:vertAlign w:val="subscript"/>
        </w:rPr>
        <w:t xml:space="preserve">(bias)</w:t>
      </w:r>
      <w:r>
        <w:t xml:space="preserve">) of δ</w:t>
      </w:r>
      <w:r>
        <w:rPr>
          <w:vertAlign w:val="superscript"/>
        </w:rPr>
        <w:t xml:space="preserve">13</w:t>
      </w:r>
      <w:r>
        <w:t xml:space="preserve">C is ± 0.175 and that of δ</w:t>
      </w:r>
      <w:r>
        <w:rPr>
          <w:vertAlign w:val="superscript"/>
        </w:rPr>
        <w:t xml:space="preserve">15</w:t>
      </w:r>
      <w:r>
        <w:t xml:space="preserve">N is ± 0.228. The total analytical uncertainty was determined to be ± 0.43 for δ</w:t>
      </w:r>
      <w:r>
        <w:rPr>
          <w:vertAlign w:val="superscript"/>
        </w:rPr>
        <w:t xml:space="preserve">13</w:t>
      </w:r>
      <w:r>
        <w:t xml:space="preserve">C and ± 0.33 for δ</w:t>
      </w:r>
      <w:r>
        <w:rPr>
          <w:vertAlign w:val="superscript"/>
        </w:rPr>
        <w:t xml:space="preserve">15</w:t>
      </w:r>
      <w:r>
        <w:t xml:space="preserve">N. In order to correct for charring effect in plant remains, 0.11‰ and 0.31‰ were subtracted from their δ</w:t>
      </w:r>
      <w:r>
        <w:rPr>
          <w:vertAlign w:val="superscript"/>
        </w:rPr>
        <w:t xml:space="preserve">13</w:t>
      </w:r>
      <w:r>
        <w:t xml:space="preserve">C and δ</w:t>
      </w:r>
      <w:r>
        <w:rPr>
          <w:vertAlign w:val="superscript"/>
        </w:rPr>
        <w:t xml:space="preserve">15</w:t>
      </w:r>
      <w:r>
        <w:t xml:space="preserve">N values, respectively</w:t>
      </w:r>
      <w:r>
        <w:t xml:space="preserve"> </w:t>
      </w:r>
      <w:r>
        <w:t xml:space="preserve">(</w:t>
      </w:r>
      <w:hyperlink w:anchor="ref-nitsch_etal15">
        <w:r>
          <w:rPr>
            <w:rStyle w:val="Hyperlink"/>
          </w:rPr>
          <w:t xml:space="preserve">Nitsch et al., 2015</w:t>
        </w:r>
      </w:hyperlink>
      <w:r>
        <w:t xml:space="preserve">)</w:t>
      </w:r>
      <w:r>
        <w:t xml:space="preserve">. The fluctuations in δ</w:t>
      </w:r>
      <w:r>
        <w:rPr>
          <w:vertAlign w:val="superscript"/>
        </w:rPr>
        <w:t xml:space="preserve">13</w:t>
      </w:r>
      <w:r>
        <w:t xml:space="preserve">C of the atmospheric CO</w:t>
      </w:r>
      <w:r>
        <w:rPr>
          <w:vertAlign w:val="subscript"/>
        </w:rPr>
        <w:t xml:space="preserve">2</w:t>
      </w:r>
      <w:r>
        <w:t xml:space="preserve"> </w:t>
      </w:r>
      <w:r>
        <w:t xml:space="preserve">throughout the Holocene were considered while interpreting the stable carbon isotope ratios. The δ</w:t>
      </w:r>
      <w:r>
        <w:rPr>
          <w:vertAlign w:val="superscript"/>
        </w:rPr>
        <w:t xml:space="preserve">13</w:t>
      </w:r>
      <w:r>
        <w:t xml:space="preserve">C of atmospheric CO</w:t>
      </w:r>
      <w:r>
        <w:rPr>
          <w:vertAlign w:val="subscript"/>
        </w:rPr>
        <w:t xml:space="preserve">2</w:t>
      </w:r>
      <w:r>
        <w:t xml:space="preserve"> </w:t>
      </w:r>
      <w:r>
        <w:t xml:space="preserve">during the period in the study was approximated using the AIRCO</w:t>
      </w:r>
      <w:r>
        <w:rPr>
          <w:vertAlign w:val="subscript"/>
        </w:rPr>
        <w:t xml:space="preserve">2</w:t>
      </w:r>
      <w:r>
        <w:t xml:space="preserve">_LOESS system, and then this value was used to compute the δ</w:t>
      </w:r>
      <w:r>
        <w:rPr>
          <w:vertAlign w:val="superscript"/>
        </w:rPr>
        <w:t xml:space="preserve">13</w:t>
      </w:r>
      <w:r>
        <w:t xml:space="preserve">C discrimination of plants independent of the source CO</w:t>
      </w:r>
      <w:r>
        <w:rPr>
          <w:vertAlign w:val="subscript"/>
        </w:rPr>
        <w:t xml:space="preserve">2</w:t>
      </w:r>
      <w:r>
        <w:t xml:space="preserve"> </w:t>
      </w:r>
      <w:r>
        <w:t xml:space="preserve">(</w:t>
      </w:r>
      <w:hyperlink w:anchor="ref-farquhar_etal82">
        <w:r>
          <w:rPr>
            <w:rStyle w:val="Hyperlink"/>
          </w:rPr>
          <w:t xml:space="preserve">Farquhar et al., 1982</w:t>
        </w:r>
      </w:hyperlink>
      <w:r>
        <w:t xml:space="preserve">;</w:t>
      </w:r>
      <w:r>
        <w:t xml:space="preserve"> </w:t>
      </w:r>
      <w:hyperlink w:anchor="ref-ferrio_etal05">
        <w:r>
          <w:rPr>
            <w:rStyle w:val="Hyperlink"/>
          </w:rPr>
          <w:t xml:space="preserve">Ferrio et al., 2005</w:t>
        </w:r>
      </w:hyperlink>
      <w:r>
        <w:t xml:space="preserve">)</w:t>
      </w:r>
      <w:r>
        <w:t xml:space="preserve">.</w:t>
      </w:r>
    </w:p>
    <w:p>
      <w:pPr>
        <w:pStyle w:val="BodyText"/>
      </w:pPr>
      <w:r>
        <w:t xml:space="preserve">The collagen samples were combusted with additional V</w:t>
      </w:r>
      <w:r>
        <w:rPr>
          <w:vertAlign w:val="subscript"/>
        </w:rPr>
        <w:t xml:space="preserve">2</w:t>
      </w:r>
      <w:r>
        <w:t xml:space="preserve">O</w:t>
      </w:r>
      <w:r>
        <w:rPr>
          <w:vertAlign w:val="subscript"/>
        </w:rPr>
        <w:t xml:space="preserve">5</w:t>
      </w:r>
      <w:r>
        <w:t xml:space="preserve"> </w:t>
      </w:r>
      <w:r>
        <w:t xml:space="preserve">and an oxygen pulse (IsoPrime</w:t>
      </w:r>
      <w:r>
        <w:rPr>
          <w:vertAlign w:val="superscript"/>
        </w:rPr>
        <w:t xml:space="preserve">™</w:t>
      </w:r>
      <w:r>
        <w:t xml:space="preserve"> </w:t>
      </w:r>
      <w:r>
        <w:t xml:space="preserve">Mass spectrometer, Elementar Analysensysteme GmbH</w:t>
      </w:r>
      <w:r>
        <w:rPr>
          <w:vertAlign w:val="superscript"/>
        </w:rPr>
        <w:t xml:space="preserve">®</w:t>
      </w:r>
      <w:r>
        <w:t xml:space="preserve">, Langenselbold, Germany). Calibration of δ</w:t>
      </w:r>
      <w:r>
        <w:rPr>
          <w:vertAlign w:val="superscript"/>
        </w:rPr>
        <w:t xml:space="preserve">34</w:t>
      </w:r>
      <w:r>
        <w:t xml:space="preserve">S values was performed using international inorganic standards for stable sulfur isotope analysis: NBS127 (+20.3‰) and IAEA S1 (-0.3‰). B2155 protein (+6.32 ± 0.8‰) was used as an internal quality control standard. Precision (u</w:t>
      </w:r>
      <w:r>
        <w:rPr>
          <w:vertAlign w:val="subscript"/>
        </w:rPr>
        <w:t xml:space="preserve">(RW)</w:t>
      </w:r>
      <w:r>
        <w:t xml:space="preserve">) and accuracy (u</w:t>
      </w:r>
      <w:r>
        <w:rPr>
          <w:vertAlign w:val="subscript"/>
        </w:rPr>
        <w:t xml:space="preserve">(bias)</w:t>
      </w:r>
      <w:r>
        <w:t xml:space="preserve">) for δ</w:t>
      </w:r>
      <w:r>
        <w:rPr>
          <w:vertAlign w:val="superscript"/>
        </w:rPr>
        <w:t xml:space="preserve">34</w:t>
      </w:r>
      <w:r>
        <w:t xml:space="preserve">S are 0.098 and 0.963 respectively. Stable sulfur isotope values are reported in parts per thousand relative to Vienna-Canyon Diablo Troilite (VCDT). The analysis was performed at SIIAF at the University of Lisbon.</w:t>
      </w:r>
    </w:p>
    <w:bookmarkEnd w:id="44"/>
    <w:bookmarkStart w:id="45" w:name="statistical-analysis"/>
    <w:p>
      <w:pPr>
        <w:pStyle w:val="Heading2"/>
      </w:pPr>
      <w:r>
        <w:rPr>
          <w:rStyle w:val="SectionNumber"/>
        </w:rPr>
        <w:t xml:space="preserve">4.7</w:t>
      </w:r>
      <w:r>
        <w:tab/>
      </w:r>
      <w:r>
        <w:t xml:space="preserve">Statistical analysis</w:t>
      </w:r>
    </w:p>
    <w:p>
      <w:pPr>
        <w:pStyle w:val="FirstParagraph"/>
      </w:pPr>
      <w:r>
        <w:t xml:space="preserve">The obtained data were subjected to statistical analysis using R programming language</w:t>
      </w:r>
      <w:r>
        <w:t xml:space="preserve"> </w:t>
      </w:r>
      <w:r>
        <w:t xml:space="preserve">(</w:t>
      </w:r>
      <w:hyperlink w:anchor="ref-wickham16">
        <w:r>
          <w:rPr>
            <w:rStyle w:val="Hyperlink"/>
          </w:rPr>
          <w:t xml:space="preserve">Wickham, 2016</w:t>
        </w:r>
      </w:hyperlink>
      <w:r>
        <w:t xml:space="preserve">;</w:t>
      </w:r>
      <w:r>
        <w:t xml:space="preserve"> </w:t>
      </w:r>
      <w:hyperlink w:anchor="ref-rcoreteam20">
        <w:r>
          <w:rPr>
            <w:rStyle w:val="Hyperlink"/>
          </w:rPr>
          <w:t xml:space="preserve">R Core Team, 2020</w:t>
        </w:r>
      </w:hyperlink>
      <w:r>
        <w:t xml:space="preserve">)</w:t>
      </w:r>
      <w:r>
        <w:t xml:space="preserve">. Initially, means and standard deviations were calculated per species. Z-scores were calculated to detect the presence of outliers. Deviance from normal distribution was assessed using the Shapiro-Wilks test. F-tests were first used to check for significant equal variance, and subsequently, unpaired Student’s t-tests were used for two-sample comparison since all the datasets were normally distributed.</w:t>
      </w:r>
    </w:p>
    <w:bookmarkEnd w:id="45"/>
    <w:bookmarkEnd w:id="46"/>
    <w:bookmarkStart w:id="54" w:name="results"/>
    <w:p>
      <w:pPr>
        <w:pStyle w:val="Heading1"/>
      </w:pPr>
      <w:r>
        <w:rPr>
          <w:rStyle w:val="SectionNumber"/>
        </w:rPr>
        <w:t xml:space="preserve">5</w:t>
      </w:r>
      <w:r>
        <w:tab/>
      </w:r>
      <w:r>
        <w:t xml:space="preserve">Results</w:t>
      </w:r>
    </w:p>
    <w:bookmarkStart w:id="51" w:name="Xbe980281005afe5a61d20e22ca5b53b87ae2004"/>
    <w:p>
      <w:pPr>
        <w:pStyle w:val="Heading2"/>
      </w:pPr>
      <w:r>
        <w:rPr>
          <w:rStyle w:val="SectionNumber"/>
        </w:rPr>
        <w:t xml:space="preserve">5.1</w:t>
      </w:r>
      <w:r>
        <w:tab/>
      </w:r>
      <w:r>
        <w:t xml:space="preserve">Botanical Remains and their stable isotopes</w:t>
      </w:r>
    </w:p>
    <w:p>
      <w:pPr>
        <w:pStyle w:val="CaptionedFigure"/>
      </w:pPr>
      <w:r>
        <w:drawing>
          <wp:inline>
            <wp:extent cx="6197600" cy="8766605"/>
            <wp:effectExtent b="0" l="0" r="0" t="0"/>
            <wp:docPr descr="Figure 3: Charred plant remains of settlement phase V from Castro Marim; (a) Brassica nigra; (b) Apium cf. graveolens; (c) Galeopsis tetrahit; (d) Pisum sativum; (e) Triticum aestivum/durum; (f) Hordeum vulgare var. nudum; (g) Hordeum vulgare subsp. vulgare; (h) Pinus pinea; (i) Vicia faba" title="" id="48" name="Picture"/>
            <a:graphic>
              <a:graphicData uri="http://schemas.openxmlformats.org/drawingml/2006/picture">
                <pic:pic>
                  <pic:nvPicPr>
                    <pic:cNvPr descr="C:/Users/rosha/Documents/R/Projects/castro_marim_phoenician/./images/castro_bot_assemblage.jpg" id="49" name="Picture"/>
                    <pic:cNvPicPr>
                      <a:picLocks noChangeArrowheads="1" noChangeAspect="1"/>
                    </pic:cNvPicPr>
                  </pic:nvPicPr>
                  <pic:blipFill>
                    <a:blip r:embed="rId47"/>
                    <a:stretch>
                      <a:fillRect/>
                    </a:stretch>
                  </pic:blipFill>
                  <pic:spPr bwMode="auto">
                    <a:xfrm>
                      <a:off x="0" y="0"/>
                      <a:ext cx="6197600" cy="8766605"/>
                    </a:xfrm>
                    <a:prstGeom prst="rect">
                      <a:avLst/>
                    </a:prstGeom>
                    <a:noFill/>
                    <a:ln w="9525">
                      <a:noFill/>
                      <a:headEnd/>
                      <a:tailEnd/>
                    </a:ln>
                  </pic:spPr>
                </pic:pic>
              </a:graphicData>
            </a:graphic>
          </wp:inline>
        </w:drawing>
      </w:r>
    </w:p>
    <w:p>
      <w:pPr>
        <w:pStyle w:val="ImageCaption"/>
      </w:pPr>
      <w:bookmarkStart w:id="50" w:name="fig:castro-archbot-assemblage"/>
      <w:bookmarkEnd w:id="50"/>
      <w:r>
        <w:t xml:space="preserve">Figure 3: Charred plant remains of settlement phase V from Castro Marim;</w:t>
      </w:r>
      <w:r>
        <w:t xml:space="preserve"> </w:t>
      </w:r>
      <w:r>
        <w:rPr>
          <w:b/>
          <w:bCs/>
        </w:rPr>
        <w:t xml:space="preserve">(a)</w:t>
      </w:r>
      <w:r>
        <w:t xml:space="preserve"> </w:t>
      </w:r>
      <w:r>
        <w:t xml:space="preserve">Brassica nigra;</w:t>
      </w:r>
      <w:r>
        <w:t xml:space="preserve"> </w:t>
      </w:r>
      <w:r>
        <w:rPr>
          <w:b/>
          <w:bCs/>
        </w:rPr>
        <w:t xml:space="preserve">(b)</w:t>
      </w:r>
      <w:r>
        <w:t xml:space="preserve"> </w:t>
      </w:r>
      <w:r>
        <w:t xml:space="preserve">Apium cf. graveolens;</w:t>
      </w:r>
      <w:r>
        <w:t xml:space="preserve"> </w:t>
      </w:r>
      <w:r>
        <w:rPr>
          <w:b/>
          <w:bCs/>
        </w:rPr>
        <w:t xml:space="preserve">(c)</w:t>
      </w:r>
      <w:r>
        <w:t xml:space="preserve"> </w:t>
      </w:r>
      <w:r>
        <w:t xml:space="preserve">Galeopsis tetrahit;</w:t>
      </w:r>
      <w:r>
        <w:t xml:space="preserve"> </w:t>
      </w:r>
      <w:r>
        <w:rPr>
          <w:b/>
          <w:bCs/>
        </w:rPr>
        <w:t xml:space="preserve">(d)</w:t>
      </w:r>
      <w:r>
        <w:t xml:space="preserve"> </w:t>
      </w:r>
      <w:r>
        <w:t xml:space="preserve">Pisum sativum;</w:t>
      </w:r>
      <w:r>
        <w:t xml:space="preserve"> </w:t>
      </w:r>
      <w:r>
        <w:rPr>
          <w:b/>
          <w:bCs/>
        </w:rPr>
        <w:t xml:space="preserve">(e)</w:t>
      </w:r>
      <w:r>
        <w:t xml:space="preserve"> </w:t>
      </w:r>
      <w:r>
        <w:t xml:space="preserve">Triticum aestivum/durum;</w:t>
      </w:r>
      <w:r>
        <w:t xml:space="preserve"> </w:t>
      </w:r>
      <w:r>
        <w:rPr>
          <w:b/>
          <w:bCs/>
        </w:rPr>
        <w:t xml:space="preserve">(f)</w:t>
      </w:r>
      <w:r>
        <w:t xml:space="preserve"> </w:t>
      </w:r>
      <w:r>
        <w:t xml:space="preserve">Hordeum vulgare</w:t>
      </w:r>
      <w:r>
        <w:t xml:space="preserve"> </w:t>
      </w:r>
      <w:r>
        <w:rPr>
          <w:i/>
          <w:iCs/>
        </w:rPr>
        <w:t xml:space="preserve">var.</w:t>
      </w:r>
      <w:r>
        <w:t xml:space="preserve"> </w:t>
      </w:r>
      <w:r>
        <w:t xml:space="preserve">nudum;</w:t>
      </w:r>
      <w:r>
        <w:t xml:space="preserve"> </w:t>
      </w:r>
      <w:r>
        <w:rPr>
          <w:b/>
          <w:bCs/>
        </w:rPr>
        <w:t xml:space="preserve">(g)</w:t>
      </w:r>
      <w:r>
        <w:t xml:space="preserve"> </w:t>
      </w:r>
      <w:r>
        <w:t xml:space="preserve">Hordeum vulgare</w:t>
      </w:r>
      <w:r>
        <w:t xml:space="preserve"> </w:t>
      </w:r>
      <w:r>
        <w:rPr>
          <w:i/>
          <w:iCs/>
        </w:rPr>
        <w:t xml:space="preserve">subsp.</w:t>
      </w:r>
      <w:r>
        <w:t xml:space="preserve"> </w:t>
      </w:r>
      <w:r>
        <w:t xml:space="preserve">vulgare;</w:t>
      </w:r>
      <w:r>
        <w:t xml:space="preserve"> </w:t>
      </w:r>
      <w:r>
        <w:rPr>
          <w:b/>
          <w:bCs/>
        </w:rPr>
        <w:t xml:space="preserve">(h)</w:t>
      </w:r>
      <w:r>
        <w:t xml:space="preserve"> </w:t>
      </w:r>
      <w:r>
        <w:t xml:space="preserve">Pinus pinea;</w:t>
      </w:r>
      <w:r>
        <w:t xml:space="preserve"> </w:t>
      </w:r>
      <w:r>
        <w:rPr>
          <w:b/>
          <w:bCs/>
        </w:rPr>
        <w:t xml:space="preserve">(i)</w:t>
      </w:r>
      <w:r>
        <w:t xml:space="preserve"> </w:t>
      </w:r>
      <w:r>
        <w:t xml:space="preserve">Vicia faba</w:t>
      </w:r>
    </w:p>
    <w:p>
      <w:pPr>
        <w:pStyle w:val="BodyText"/>
      </w:pPr>
      <w:r>
        <w:t xml:space="preserve">As the excavation was conducted a decade prior to this study, only 200 grams of sediment per stratigraphic unit were available for analysis from the archaeological depot. No botanical remains could be recovered from the soil samples of phases III and IV. The bulk of the recovered remains are from phase V representing the most mature chronological period of the occupation. Barley (</w:t>
      </w:r>
      <w:r>
        <w:rPr>
          <w:i/>
          <w:iCs/>
        </w:rPr>
        <w:t xml:space="preserve">Hordeum vulgare</w:t>
      </w:r>
      <w:r>
        <w:t xml:space="preserve">) is the dominant taxon in the botanical record (Table 1).</w:t>
      </w:r>
      <w:r>
        <w:t xml:space="preserve"> </w:t>
      </w:r>
      <w:r>
        <w:rPr>
          <w:i/>
          <w:iCs/>
        </w:rPr>
        <w:t xml:space="preserve">Hordeum vulgare</w:t>
      </w:r>
      <w:r>
        <w:t xml:space="preserve"> </w:t>
      </w:r>
      <w:r>
        <w:t xml:space="preserve">var.</w:t>
      </w:r>
      <w:r>
        <w:t xml:space="preserve"> </w:t>
      </w:r>
      <w:r>
        <w:rPr>
          <w:i/>
          <w:iCs/>
        </w:rPr>
        <w:t xml:space="preserve">nudum</w:t>
      </w:r>
      <w:r>
        <w:t xml:space="preserve"> </w:t>
      </w:r>
      <w:r>
        <w:t xml:space="preserve">and</w:t>
      </w:r>
      <w:r>
        <w:t xml:space="preserve"> </w:t>
      </w:r>
      <w:r>
        <w:rPr>
          <w:i/>
          <w:iCs/>
        </w:rPr>
        <w:t xml:space="preserve">Hordeum vulgare</w:t>
      </w:r>
      <w:r>
        <w:t xml:space="preserve"> </w:t>
      </w:r>
      <w:r>
        <w:t xml:space="preserve">subsp.</w:t>
      </w:r>
      <w:r>
        <w:t xml:space="preserve"> </w:t>
      </w:r>
      <w:r>
        <w:rPr>
          <w:i/>
          <w:iCs/>
        </w:rPr>
        <w:t xml:space="preserve">vulgare</w:t>
      </w:r>
      <w:r>
        <w:t xml:space="preserve"> </w:t>
      </w:r>
      <w:r>
        <w:t xml:space="preserve">(Fig.</w:t>
      </w:r>
      <w:r>
        <w:t xml:space="preserve"> </w:t>
      </w:r>
      <w:r>
        <w:t xml:space="preserve">3</w:t>
      </w:r>
      <w:r>
        <w:t xml:space="preserve"> </w:t>
      </w:r>
      <w:r>
        <w:rPr>
          <w:b/>
          <w:bCs/>
        </w:rPr>
        <w:t xml:space="preserve">(f)</w:t>
      </w:r>
      <w:r>
        <w:t xml:space="preserve"> </w:t>
      </w:r>
      <w:r>
        <w:t xml:space="preserve">and</w:t>
      </w:r>
      <w:r>
        <w:t xml:space="preserve"> </w:t>
      </w:r>
      <w:r>
        <w:rPr>
          <w:b/>
          <w:bCs/>
        </w:rPr>
        <w:t xml:space="preserve">(g)</w:t>
      </w:r>
      <w:r>
        <w:t xml:space="preserve">, respectively) are the two cultivars that constitute the barley fraction with equal abundance. Wheat (</w:t>
      </w:r>
      <w:r>
        <w:rPr>
          <w:i/>
          <w:iCs/>
        </w:rPr>
        <w:t xml:space="preserve">Triticum aestivum/durum</w:t>
      </w:r>
      <w:r>
        <w:t xml:space="preserve">) is the second most abundant taxon after barley. Large-scale cereal cultivation has been observed in sites located in river valleys near the South Iberian sea coast, including, Castillo de Doña Blanca in Guadalquivir Valley and El Villar in Guadalhorce Valley</w:t>
      </w:r>
      <w:r>
        <w:t xml:space="preserve"> </w:t>
      </w:r>
      <w:r>
        <w:t xml:space="preserve">(</w:t>
      </w:r>
      <w:hyperlink w:anchor="ref-semmler90">
        <w:r>
          <w:rPr>
            <w:rStyle w:val="Hyperlink"/>
          </w:rPr>
          <w:t xml:space="preserve">Semmler, 1990</w:t>
        </w:r>
      </w:hyperlink>
      <w:r>
        <w:t xml:space="preserve">,</w:t>
      </w:r>
      <w:r>
        <w:t xml:space="preserve"> </w:t>
      </w:r>
      <w:hyperlink w:anchor="ref-semmler92">
        <w:r>
          <w:rPr>
            <w:rStyle w:val="Hyperlink"/>
          </w:rPr>
          <w:t xml:space="preserve">1992</w:t>
        </w:r>
      </w:hyperlink>
      <w:r>
        <w:t xml:space="preserve">)</w:t>
      </w:r>
      <w:r>
        <w:t xml:space="preserve">, two sites which are located in similar geographical settings to Castro Marim. Cereal cultivation seems to be a significant activity, implying that cereals were the principal source of carbohydrates for both humans and animals. The greater presence of barley compared to wheat can be a strategy of</w:t>
      </w:r>
      <w:r>
        <w:t xml:space="preserve"> </w:t>
      </w:r>
      <w:r>
        <w:t xml:space="preserve">‘</w:t>
      </w:r>
      <w:r>
        <w:t xml:space="preserve">minimum returns on investment</w:t>
      </w:r>
      <w:r>
        <w:t xml:space="preserve">’</w:t>
      </w:r>
      <w:r>
        <w:t xml:space="preserve"> </w:t>
      </w:r>
      <w:r>
        <w:t xml:space="preserve">against dry climatic conditions exploiting the fact that barley has a higher tolerance to drier conditions than wheat</w:t>
      </w:r>
      <w:r>
        <w:t xml:space="preserve"> </w:t>
      </w:r>
      <w:r>
        <w:t xml:space="preserve">(</w:t>
      </w:r>
      <w:hyperlink w:anchor="ref-riehl09">
        <w:r>
          <w:rPr>
            <w:rStyle w:val="Hyperlink"/>
          </w:rPr>
          <w:t xml:space="preserve">Riehl, 2009</w:t>
        </w:r>
      </w:hyperlink>
      <w:r>
        <w:t xml:space="preserve">)</w:t>
      </w:r>
      <w:r>
        <w:t xml:space="preserve">. Two taxa of pulses have been noted, namely, pea (</w:t>
      </w:r>
      <w:r>
        <w:rPr>
          <w:i/>
          <w:iCs/>
        </w:rPr>
        <w:t xml:space="preserve">Pisum sativum</w:t>
      </w:r>
      <w:r>
        <w:t xml:space="preserve">) and broad bean (</w:t>
      </w:r>
      <w:r>
        <w:rPr>
          <w:i/>
          <w:iCs/>
        </w:rPr>
        <w:t xml:space="preserve">Vicia faba</w:t>
      </w:r>
      <w:r>
        <w:t xml:space="preserve">) (Fig.</w:t>
      </w:r>
      <w:r>
        <w:t xml:space="preserve"> </w:t>
      </w:r>
      <w:r>
        <w:t xml:space="preserve">3</w:t>
      </w:r>
      <w:r>
        <w:t xml:space="preserve"> </w:t>
      </w:r>
      <w:r>
        <w:rPr>
          <w:b/>
          <w:bCs/>
        </w:rPr>
        <w:t xml:space="preserve">(d)</w:t>
      </w:r>
      <w:r>
        <w:t xml:space="preserve"> </w:t>
      </w:r>
      <w:r>
        <w:t xml:space="preserve">and</w:t>
      </w:r>
      <w:r>
        <w:t xml:space="preserve"> </w:t>
      </w:r>
      <w:r>
        <w:rPr>
          <w:b/>
          <w:bCs/>
        </w:rPr>
        <w:t xml:space="preserve">(i)</w:t>
      </w:r>
      <w:r>
        <w:t xml:space="preserve"> </w:t>
      </w:r>
      <w:r>
        <w:t xml:space="preserve">respectively). Pulses serve as a rich source of proteins and act as an alternative to animal-sourced protein for humans. The combined cultivation of pulses with cereals helps to maintain adequate soil nitrogen levels, leading to sustainable and diverse production. The presence of black mustard (</w:t>
      </w:r>
      <w:r>
        <w:rPr>
          <w:i/>
          <w:iCs/>
        </w:rPr>
        <w:t xml:space="preserve">Brassica nigra</w:t>
      </w:r>
      <w:r>
        <w:t xml:space="preserve">) (Fig.</w:t>
      </w:r>
      <w:r>
        <w:t xml:space="preserve"> </w:t>
      </w:r>
      <w:r>
        <w:t xml:space="preserve">3</w:t>
      </w:r>
      <w:r>
        <w:t xml:space="preserve"> </w:t>
      </w:r>
      <w:r>
        <w:rPr>
          <w:b/>
          <w:bCs/>
        </w:rPr>
        <w:t xml:space="preserve">(a)</w:t>
      </w:r>
      <w:r>
        <w:t xml:space="preserve">) has been recorded. Black mustard is a common species along the rocky Mediterranean coasts and has long found its place as a culinary taste enhancer</w:t>
      </w:r>
      <w:r>
        <w:t xml:space="preserve"> </w:t>
      </w:r>
      <w:r>
        <w:t xml:space="preserve">(</w:t>
      </w:r>
      <w:hyperlink w:anchor="ref-dixon06">
        <w:r>
          <w:rPr>
            <w:rStyle w:val="Hyperlink"/>
          </w:rPr>
          <w:t xml:space="preserve">Dixon, 2006</w:t>
        </w:r>
      </w:hyperlink>
      <w:r>
        <w:t xml:space="preserve">)</w:t>
      </w:r>
      <w:r>
        <w:t xml:space="preserve">. Like many members of</w:t>
      </w:r>
      <w:r>
        <w:t xml:space="preserve"> </w:t>
      </w:r>
      <w:r>
        <w:rPr>
          <w:i/>
          <w:iCs/>
        </w:rPr>
        <w:t xml:space="preserve">Brassica</w:t>
      </w:r>
      <w:r>
        <w:t xml:space="preserve">, black mustard was also used as a source of oil</w:t>
      </w:r>
      <w:r>
        <w:t xml:space="preserve"> </w:t>
      </w:r>
      <w:r>
        <w:t xml:space="preserve">(</w:t>
      </w:r>
      <w:hyperlink w:anchor="ref-pena-chocarro_etal19">
        <w:r>
          <w:rPr>
            <w:rStyle w:val="Hyperlink"/>
          </w:rPr>
          <w:t xml:space="preserve">Peña-Chocarro et al., 2019</w:t>
        </w:r>
      </w:hyperlink>
      <w:r>
        <w:t xml:space="preserve">)</w:t>
      </w:r>
      <w:r>
        <w:t xml:space="preserve">.</w:t>
      </w:r>
    </w:p>
    <w:p>
      <w:pPr>
        <w:pStyle w:val="BodyText"/>
      </w:pPr>
      <w:r>
        <w:t xml:space="preserve">A fragment of a charred fruit has been attributed to</w:t>
      </w:r>
      <w:r>
        <w:t xml:space="preserve"> </w:t>
      </w:r>
      <w:r>
        <w:rPr>
          <w:i/>
          <w:iCs/>
        </w:rPr>
        <w:t xml:space="preserve">Apium</w:t>
      </w:r>
      <w:r>
        <w:t xml:space="preserve"> </w:t>
      </w:r>
      <w:r>
        <w:t xml:space="preserve">taxon, suspected to be a seed of celery (</w:t>
      </w:r>
      <w:r>
        <w:rPr>
          <w:i/>
          <w:iCs/>
        </w:rPr>
        <w:t xml:space="preserve">Apium graveolens</w:t>
      </w:r>
      <w:r>
        <w:t xml:space="preserve">) (Fig.</w:t>
      </w:r>
      <w:r>
        <w:t xml:space="preserve"> </w:t>
      </w:r>
      <w:r>
        <w:t xml:space="preserve">3</w:t>
      </w:r>
      <w:r>
        <w:t xml:space="preserve"> </w:t>
      </w:r>
      <w:r>
        <w:rPr>
          <w:b/>
          <w:bCs/>
        </w:rPr>
        <w:t xml:space="preserve">(b)</w:t>
      </w:r>
      <w:r>
        <w:t xml:space="preserve">). This attribution is done due to the presence of five slender longitudinal ridges on the surface of the fruit</w:t>
      </w:r>
      <w:r>
        <w:t xml:space="preserve"> </w:t>
      </w:r>
      <w:r>
        <w:t xml:space="preserve">(</w:t>
      </w:r>
      <w:hyperlink w:anchor="ref-wilson16">
        <w:r>
          <w:rPr>
            <w:rStyle w:val="Hyperlink"/>
          </w:rPr>
          <w:t xml:space="preserve">Wilson, 2016</w:t>
        </w:r>
      </w:hyperlink>
      <w:r>
        <w:t xml:space="preserve">)</w:t>
      </w:r>
      <w:r>
        <w:t xml:space="preserve">. This species is native to the coastal Mediterranean region, considered to be its center of origin. The recorded use of celery as a vegetable in Europe is only from the 1600s, originating in Italy, and gradually spreading westwards in the subsequent centuries</w:t>
      </w:r>
      <w:r>
        <w:t xml:space="preserve"> </w:t>
      </w:r>
      <w:r>
        <w:t xml:space="preserve">(</w:t>
      </w:r>
      <w:hyperlink w:anchor="ref-tobyn_etal11">
        <w:r>
          <w:rPr>
            <w:rStyle w:val="Hyperlink"/>
          </w:rPr>
          <w:t xml:space="preserve">Tobyn et al., 2011</w:t>
        </w:r>
      </w:hyperlink>
      <w:r>
        <w:t xml:space="preserve">)</w:t>
      </w:r>
      <w:r>
        <w:t xml:space="preserve">. The consumption of celery as a vegetable started in the Mediterranean region only around the 16</w:t>
      </w:r>
      <w:r>
        <w:rPr>
          <w:vertAlign w:val="superscript"/>
        </w:rPr>
        <w:t xml:space="preserve">th</w:t>
      </w:r>
      <w:r>
        <w:t xml:space="preserve"> </w:t>
      </w:r>
      <w:r>
        <w:t xml:space="preserve">century CE. In the Phoenician - Punic period, it could have been either cultivated or foraged as a medicinal herb rather than a food plant</w:t>
      </w:r>
      <w:r>
        <w:t xml:space="preserve"> </w:t>
      </w:r>
      <w:r>
        <w:t xml:space="preserve">(</w:t>
      </w:r>
      <w:hyperlink w:anchor="ref-sturtevant86">
        <w:r>
          <w:rPr>
            <w:rStyle w:val="Hyperlink"/>
          </w:rPr>
          <w:t xml:space="preserve">Sturtevant, 1886</w:t>
        </w:r>
      </w:hyperlink>
      <w:r>
        <w:t xml:space="preserve">)</w:t>
      </w:r>
      <w:r>
        <w:t xml:space="preserve">. Shells of pine nuts (Fig.</w:t>
      </w:r>
      <w:r>
        <w:t xml:space="preserve"> </w:t>
      </w:r>
      <w:r>
        <w:t xml:space="preserve">3</w:t>
      </w:r>
      <w:r>
        <w:t xml:space="preserve"> </w:t>
      </w:r>
      <w:r>
        <w:rPr>
          <w:b/>
          <w:bCs/>
        </w:rPr>
        <w:t xml:space="preserve">(h)</w:t>
      </w:r>
      <w:r>
        <w:t xml:space="preserve">) belong to the species</w:t>
      </w:r>
      <w:r>
        <w:t xml:space="preserve"> </w:t>
      </w:r>
      <w:r>
        <w:rPr>
          <w:i/>
          <w:iCs/>
        </w:rPr>
        <w:t xml:space="preserve">Pinus pinea</w:t>
      </w:r>
      <w:r>
        <w:t xml:space="preserve">, commonly known as Mediterranean stone pine. Pine nut consumption has been documented in Portugal since the Palaeolithic period</w:t>
      </w:r>
      <w:r>
        <w:t xml:space="preserve"> </w:t>
      </w:r>
      <w:r>
        <w:t xml:space="preserve">(</w:t>
      </w:r>
      <w:hyperlink w:anchor="ref-gale_carruthers00">
        <w:r>
          <w:rPr>
            <w:rStyle w:val="Hyperlink"/>
          </w:rPr>
          <w:t xml:space="preserve">Gale and Carruthers, 2000</w:t>
        </w:r>
      </w:hyperlink>
      <w:r>
        <w:t xml:space="preserve">)</w:t>
      </w:r>
      <w:r>
        <w:t xml:space="preserve">. The stone pine nuts are high in protein and fat with low carbohydrates</w:t>
      </w:r>
      <w:r>
        <w:t xml:space="preserve"> </w:t>
      </w:r>
      <w:r>
        <w:t xml:space="preserve">(</w:t>
      </w:r>
      <w:hyperlink w:anchor="ref-haws04">
        <w:r>
          <w:rPr>
            <w:rStyle w:val="Hyperlink"/>
          </w:rPr>
          <w:t xml:space="preserve">Haws, 2004</w:t>
        </w:r>
      </w:hyperlink>
      <w:r>
        <w:t xml:space="preserve">)</w:t>
      </w:r>
      <w:r>
        <w:t xml:space="preserve">. The nuts are a valuable source of nutrition and could have been stored during low cultivated food production periods.</w:t>
      </w:r>
    </w:p>
    <w:p>
      <w:pPr>
        <w:pStyle w:val="BodyText"/>
      </w:pPr>
      <w:r>
        <w:rPr>
          <w:b/>
          <w:bCs/>
        </w:rPr>
        <w:t xml:space="preserve">&lt;—————————Table 4————————–&gt;</w:t>
      </w:r>
    </w:p>
    <w:p>
      <w:pPr>
        <w:pStyle w:val="BodyText"/>
      </w:pPr>
      <w:r>
        <w:t xml:space="preserve">Table 2 shows the results of stable isotope ratios of the two barley cultivars and stone pine and Table 4 shows their mean summary. In the case of barley, the isotope ratios fall within the established predicted ranges obtained from experimentally charred modern cereals</w:t>
      </w:r>
      <w:r>
        <w:t xml:space="preserve"> </w:t>
      </w:r>
      <w:r>
        <w:t xml:space="preserve">(</w:t>
      </w:r>
      <w:hyperlink w:anchor="ref-fraser_etal13a">
        <w:r>
          <w:rPr>
            <w:rStyle w:val="Hyperlink"/>
          </w:rPr>
          <w:t xml:space="preserve">Fraser et al., 2013</w:t>
        </w:r>
      </w:hyperlink>
      <w:r>
        <w:t xml:space="preserve">)</w:t>
      </w:r>
      <w:r>
        <w:t xml:space="preserve">. Since the isotope ratios of the stone pine are similar to that of barley, they are considered consistent.</w:t>
      </w:r>
    </w:p>
    <w:bookmarkEnd w:id="51"/>
    <w:bookmarkStart w:id="52" w:name="collagen-quality-and-zooms"/>
    <w:p>
      <w:pPr>
        <w:pStyle w:val="Heading2"/>
      </w:pPr>
      <w:r>
        <w:rPr>
          <w:rStyle w:val="SectionNumber"/>
        </w:rPr>
        <w:t xml:space="preserve">5.2</w:t>
      </w:r>
      <w:r>
        <w:tab/>
      </w:r>
      <w:r>
        <w:t xml:space="preserve">Collagen quality and ZooMS</w:t>
      </w:r>
    </w:p>
    <w:p>
      <w:pPr>
        <w:pStyle w:val="FirstParagraph"/>
      </w:pPr>
      <w:r>
        <w:t xml:space="preserve">Collagen yields range between 2.5% to 49.1% (Table 3). Collagen extraction was considered successful for all the bone samples, based on published criteria, with carbon content between 15.3% and 47.0%</w:t>
      </w:r>
      <w:r>
        <w:t xml:space="preserve"> </w:t>
      </w:r>
      <w:r>
        <w:t xml:space="preserve">(</w:t>
      </w:r>
      <w:hyperlink w:anchor="ref-ambrose90">
        <w:r>
          <w:rPr>
            <w:rStyle w:val="Hyperlink"/>
          </w:rPr>
          <w:t xml:space="preserve">Ambrose, 1990</w:t>
        </w:r>
      </w:hyperlink>
      <w:r>
        <w:t xml:space="preserve">)</w:t>
      </w:r>
      <w:r>
        <w:t xml:space="preserve">, nitrogen content between 5.5% and 17.3%</w:t>
      </w:r>
      <w:r>
        <w:t xml:space="preserve"> </w:t>
      </w:r>
      <w:r>
        <w:t xml:space="preserve">(</w:t>
      </w:r>
      <w:hyperlink w:anchor="ref-ambrose90">
        <w:r>
          <w:rPr>
            <w:rStyle w:val="Hyperlink"/>
          </w:rPr>
          <w:t xml:space="preserve">Ambrose, 1990</w:t>
        </w:r>
      </w:hyperlink>
      <w:r>
        <w:t xml:space="preserve">)</w:t>
      </w:r>
      <w:r>
        <w:t xml:space="preserve">, C/N values between 3.15 and 3.50 (conservative upper limit with 0.5% tolerance)</w:t>
      </w:r>
      <w:r>
        <w:t xml:space="preserve"> </w:t>
      </w:r>
      <w:r>
        <w:t xml:space="preserve">(</w:t>
      </w:r>
      <w:hyperlink w:anchor="ref-guiry_szpak21">
        <w:r>
          <w:rPr>
            <w:rStyle w:val="Hyperlink"/>
          </w:rPr>
          <w:t xml:space="preserve">Guiry and Szpak, 2021</w:t>
        </w:r>
      </w:hyperlink>
      <w:r>
        <w:t xml:space="preserve">)</w:t>
      </w:r>
      <w:r>
        <w:t xml:space="preserve">, C/S values between 300 and 900</w:t>
      </w:r>
      <w:r>
        <w:t xml:space="preserve"> </w:t>
      </w:r>
      <w:r>
        <w:t xml:space="preserve">(</w:t>
      </w:r>
      <w:hyperlink w:anchor="ref-nehlich_richards09">
        <w:r>
          <w:rPr>
            <w:rStyle w:val="Hyperlink"/>
          </w:rPr>
          <w:t xml:space="preserve">Nehlich and Richards, 2009</w:t>
        </w:r>
      </w:hyperlink>
      <w:r>
        <w:t xml:space="preserve">)</w:t>
      </w:r>
      <w:r>
        <w:t xml:space="preserve">, N/S values between 100 and 300</w:t>
      </w:r>
      <w:r>
        <w:t xml:space="preserve"> </w:t>
      </w:r>
      <w:r>
        <w:t xml:space="preserve">(</w:t>
      </w:r>
      <w:hyperlink w:anchor="ref-nehlich_richards09">
        <w:r>
          <w:rPr>
            <w:rStyle w:val="Hyperlink"/>
          </w:rPr>
          <w:t xml:space="preserve">Nehlich and Richards, 2009</w:t>
        </w:r>
      </w:hyperlink>
      <w:r>
        <w:t xml:space="preserve">)</w:t>
      </w:r>
      <w:r>
        <w:t xml:space="preserve">, and collagen yields greater than 1%</w:t>
      </w:r>
      <w:r>
        <w:t xml:space="preserve"> </w:t>
      </w:r>
      <w:r>
        <w:t xml:space="preserve">(</w:t>
      </w:r>
      <w:hyperlink w:anchor="ref-vanklinken99">
        <w:r>
          <w:rPr>
            <w:rStyle w:val="Hyperlink"/>
          </w:rPr>
          <w:t xml:space="preserve">van Klinken, 1999</w:t>
        </w:r>
      </w:hyperlink>
      <w:r>
        <w:t xml:space="preserve">)</w:t>
      </w:r>
      <w:r>
        <w:t xml:space="preserve">. The extracted bone collagen samples exhibit C/N values ranging between 3.1 and 3.5, C/S values between 225.9 and 688.4, and N/S vales between 103.4 and 256.4. Carbon and nitrogen amounts range from 20.3% to 50.0% and 7.3% and 18.1% respectively. All the faunal samples, with the exception of one sample (CMOF673) exhibited collagen quality parameters indicative of good preservation. CMOF673 which is a goat had N/S value of 287.6 which is slightly outside the acceptable range proposed in</w:t>
      </w:r>
      <w:r>
        <w:t xml:space="preserve"> </w:t>
      </w:r>
      <w:r>
        <w:t xml:space="preserve">Nehlich and Richards (</w:t>
      </w:r>
      <w:hyperlink w:anchor="ref-nehlich_richards09">
        <w:r>
          <w:rPr>
            <w:rStyle w:val="Hyperlink"/>
          </w:rPr>
          <w:t xml:space="preserve">2009</w:t>
        </w:r>
      </w:hyperlink>
      <w:r>
        <w:t xml:space="preserve">)</w:t>
      </w:r>
      <w:r>
        <w:t xml:space="preserve">. However, the stable isotope values of the sample are coherent with the other goats and thus considered for interpretation. The taxonomic identification of sheep and goat samples was successfully performed based on ZooMS. The identified sample entries are in bold format (Table 3).</w:t>
      </w:r>
    </w:p>
    <w:bookmarkEnd w:id="52"/>
    <w:bookmarkStart w:id="53" w:name="faunal-bone-collagen-isotope-values"/>
    <w:p>
      <w:pPr>
        <w:pStyle w:val="Heading2"/>
      </w:pPr>
      <w:r>
        <w:rPr>
          <w:rStyle w:val="SectionNumber"/>
        </w:rPr>
        <w:t xml:space="preserve">5.3</w:t>
      </w:r>
      <w:r>
        <w:tab/>
      </w:r>
      <w:r>
        <w:t xml:space="preserve">Faunal bone collagen isotope values</w:t>
      </w:r>
    </w:p>
    <w:p>
      <w:pPr>
        <w:pStyle w:val="FirstParagraph"/>
      </w:pPr>
      <w:r>
        <w:t xml:space="preserve">All fifty faunal samples, demonstrate stable isotope values within the range expected for a C</w:t>
      </w:r>
      <w:r>
        <w:rPr>
          <w:vertAlign w:val="subscript"/>
        </w:rPr>
        <w:t xml:space="preserve">3</w:t>
      </w:r>
      <w:r>
        <w:t xml:space="preserve"> </w:t>
      </w:r>
      <w:r>
        <w:t xml:space="preserve">temperate ecosystem with δ</w:t>
      </w:r>
      <w:r>
        <w:rPr>
          <w:vertAlign w:val="superscript"/>
        </w:rPr>
        <w:t xml:space="preserve">15</w:t>
      </w:r>
      <w:r>
        <w:t xml:space="preserve">N and δ</w:t>
      </w:r>
      <w:r>
        <w:rPr>
          <w:vertAlign w:val="superscript"/>
        </w:rPr>
        <w:t xml:space="preserve">34</w:t>
      </w:r>
      <w:r>
        <w:t xml:space="preserve">S values of fauna ranging from 2.9 ‰ to 17.3 ‰ and 9.5 ‰ to 15.8 ‰ respectively. The isotope composition of the fauna is presented in Table 3 and the mean summary data by species in Table 4.</w:t>
      </w:r>
    </w:p>
    <w:bookmarkEnd w:id="53"/>
    <w:bookmarkEnd w:id="54"/>
    <w:bookmarkStart w:id="69" w:name="discussion"/>
    <w:p>
      <w:pPr>
        <w:pStyle w:val="Heading1"/>
      </w:pPr>
      <w:r>
        <w:rPr>
          <w:rStyle w:val="SectionNumber"/>
        </w:rPr>
        <w:t xml:space="preserve">6</w:t>
      </w:r>
      <w:r>
        <w:tab/>
      </w:r>
      <w:r>
        <w:t xml:space="preserve">Discussion</w:t>
      </w:r>
    </w:p>
    <w:p>
      <w:pPr>
        <w:pStyle w:val="CaptionedFigure"/>
      </w:pPr>
      <w:r>
        <w:drawing>
          <wp:inline>
            <wp:extent cx="6197600" cy="4426857"/>
            <wp:effectExtent b="0" l="0" r="0" t="0"/>
            <wp:docPr descr="Figure 4: (a). Beeswarm plot showing Δ13C values of barley cultivars where the area between the blue dashed lines represents ‘moderately-watered’ condition with the ‘well-watered’ condition being above the top blue line and ‘poorly-watered’ condition being below the lower blue line, based on the study of modern crops in varying watering conditions (Wallace et al., 2013). Δ13C values of stone pine have been plotted as well for the sake of visualization. (b). Beeswarm plot showing the manuring status of barley cultivars with green shaded region representing 1 SD range of estimated wild herbivore forage value (calculated from subtraction 4‰ from red deer δ15N mean ± 1 SD range)." title="" id="56" name="Picture"/>
            <a:graphic>
              <a:graphicData uri="http://schemas.openxmlformats.org/drawingml/2006/picture">
                <pic:pic>
                  <pic:nvPicPr>
                    <pic:cNvPr descr="main_files/figure-docx/iso-hord-plots-1.png" id="57" name="Picture"/>
                    <pic:cNvPicPr>
                      <a:picLocks noChangeArrowheads="1" noChangeAspect="1"/>
                    </pic:cNvPicPr>
                  </pic:nvPicPr>
                  <pic:blipFill>
                    <a:blip r:embed="rId55"/>
                    <a:stretch>
                      <a:fillRect/>
                    </a:stretch>
                  </pic:blipFill>
                  <pic:spPr bwMode="auto">
                    <a:xfrm>
                      <a:off x="0" y="0"/>
                      <a:ext cx="6197600" cy="4426857"/>
                    </a:xfrm>
                    <a:prstGeom prst="rect">
                      <a:avLst/>
                    </a:prstGeom>
                    <a:noFill/>
                    <a:ln w="9525">
                      <a:noFill/>
                      <a:headEnd/>
                      <a:tailEnd/>
                    </a:ln>
                  </pic:spPr>
                </pic:pic>
              </a:graphicData>
            </a:graphic>
          </wp:inline>
        </w:drawing>
      </w:r>
    </w:p>
    <w:p>
      <w:pPr>
        <w:pStyle w:val="ImageCaption"/>
      </w:pPr>
      <w:bookmarkStart w:id="58" w:name="fig:iso-hord-plots"/>
      <w:bookmarkEnd w:id="58"/>
      <w:r>
        <w:t xml:space="preserve">Figure 4:</w:t>
      </w:r>
      <w:r>
        <w:t xml:space="preserve"> </w:t>
      </w:r>
      <w:r>
        <w:rPr>
          <w:b/>
          <w:bCs/>
        </w:rPr>
        <w:t xml:space="preserve">(a).</w:t>
      </w:r>
      <w:r>
        <w:t xml:space="preserve"> </w:t>
      </w:r>
      <w:r>
        <w:t xml:space="preserve">Beeswarm plot showing Δ</w:t>
      </w:r>
      <w:r>
        <w:rPr>
          <w:vertAlign w:val="superscript"/>
        </w:rPr>
        <w:t xml:space="preserve">13</w:t>
      </w:r>
      <w:r>
        <w:t xml:space="preserve">C values of barley cultivars where the area between the blue dashed lines represents</w:t>
      </w:r>
      <w:r>
        <w:t xml:space="preserve"> </w:t>
      </w:r>
      <w:r>
        <w:t xml:space="preserve">‘</w:t>
      </w:r>
      <w:r>
        <w:t xml:space="preserve">moderately-watered</w:t>
      </w:r>
      <w:r>
        <w:t xml:space="preserve">’</w:t>
      </w:r>
      <w:r>
        <w:t xml:space="preserve"> </w:t>
      </w:r>
      <w:r>
        <w:t xml:space="preserve">condition with the</w:t>
      </w:r>
      <w:r>
        <w:t xml:space="preserve"> </w:t>
      </w:r>
      <w:r>
        <w:t xml:space="preserve">‘</w:t>
      </w:r>
      <w:r>
        <w:t xml:space="preserve">well-watered</w:t>
      </w:r>
      <w:r>
        <w:t xml:space="preserve">’</w:t>
      </w:r>
      <w:r>
        <w:t xml:space="preserve"> </w:t>
      </w:r>
      <w:r>
        <w:t xml:space="preserve">condition being above the top blue line and</w:t>
      </w:r>
      <w:r>
        <w:t xml:space="preserve"> </w:t>
      </w:r>
      <w:r>
        <w:t xml:space="preserve">‘</w:t>
      </w:r>
      <w:r>
        <w:t xml:space="preserve">poorly-watered</w:t>
      </w:r>
      <w:r>
        <w:t xml:space="preserve">’</w:t>
      </w:r>
      <w:r>
        <w:t xml:space="preserve"> </w:t>
      </w:r>
      <w:r>
        <w:t xml:space="preserve">condition being below the lower blue line, based on the study of modern crops in varying watering conditions</w:t>
      </w:r>
      <w:r>
        <w:t xml:space="preserve"> </w:t>
      </w:r>
      <w:r>
        <w:t xml:space="preserve">(</w:t>
      </w:r>
      <w:hyperlink w:anchor="ref-wallace_etal13">
        <w:r>
          <w:rPr>
            <w:rStyle w:val="Hyperlink"/>
          </w:rPr>
          <w:t xml:space="preserve">Wallace et al., 2013</w:t>
        </w:r>
      </w:hyperlink>
      <w:r>
        <w:t xml:space="preserve">)</w:t>
      </w:r>
      <w:r>
        <w:t xml:space="preserve">. Δ</w:t>
      </w:r>
      <w:r>
        <w:rPr>
          <w:vertAlign w:val="superscript"/>
        </w:rPr>
        <w:t xml:space="preserve">13</w:t>
      </w:r>
      <w:r>
        <w:t xml:space="preserve">C values of stone pine have been plotted as well for the sake of visualization.</w:t>
      </w:r>
      <w:r>
        <w:t xml:space="preserve"> </w:t>
      </w:r>
      <w:r>
        <w:rPr>
          <w:b/>
          <w:bCs/>
        </w:rPr>
        <w:t xml:space="preserve">(b).</w:t>
      </w:r>
      <w:r>
        <w:t xml:space="preserve"> </w:t>
      </w:r>
      <w:r>
        <w:t xml:space="preserve">Beeswarm plot showing the manuring status of barley cultivars with green shaded region representing 1 SD range of estimated wild herbivore forage value (calculated from subtraction 4‰ from red deer δ</w:t>
      </w:r>
      <w:r>
        <w:rPr>
          <w:vertAlign w:val="superscript"/>
        </w:rPr>
        <w:t xml:space="preserve">15</w:t>
      </w:r>
      <w:r>
        <w:t xml:space="preserve">N mean ± 1 SD range).</w:t>
      </w:r>
    </w:p>
    <w:bookmarkStart w:id="59" w:name="Xc2dff92cf0a986bb5ec95103db38f413910a73a"/>
    <w:p>
      <w:pPr>
        <w:pStyle w:val="Heading2"/>
      </w:pPr>
      <w:r>
        <w:rPr>
          <w:rStyle w:val="SectionNumber"/>
        </w:rPr>
        <w:t xml:space="preserve">6.1</w:t>
      </w:r>
      <w:r>
        <w:tab/>
      </w:r>
      <w:r>
        <w:t xml:space="preserve">Water and nutrient nitrogen availability for vegetation</w:t>
      </w:r>
    </w:p>
    <w:p>
      <w:pPr>
        <w:pStyle w:val="FirstParagraph"/>
      </w:pPr>
      <w:r>
        <w:t xml:space="preserve">The δ</w:t>
      </w:r>
      <w:r>
        <w:rPr>
          <w:vertAlign w:val="superscript"/>
        </w:rPr>
        <w:t xml:space="preserve">13</w:t>
      </w:r>
      <w:r>
        <w:t xml:space="preserve">C means of both barley cultivars show no statistically significant difference (t-statistic: -0.04, degrees of freedom: 4,</w:t>
      </w:r>
      <w:r>
        <w:t xml:space="preserve"> </w:t>
      </w:r>
      <w:r>
        <w:rPr>
          <w:i/>
          <w:iCs/>
        </w:rPr>
        <w:t xml:space="preserve">p</w:t>
      </w:r>
      <w:r>
        <w:t xml:space="preserve">-value: 0.97). The Δ</w:t>
      </w:r>
      <w:r>
        <w:rPr>
          <w:vertAlign w:val="superscript"/>
        </w:rPr>
        <w:t xml:space="preserve">13</w:t>
      </w:r>
      <w:r>
        <w:t xml:space="preserve">C values (Figure</w:t>
      </w:r>
      <w:r>
        <w:t xml:space="preserve"> </w:t>
      </w:r>
      <w:r>
        <w:t xml:space="preserve">4</w:t>
      </w:r>
      <w:r>
        <w:t xml:space="preserve"> </w:t>
      </w:r>
      <w:r>
        <w:rPr>
          <w:b/>
          <w:bCs/>
        </w:rPr>
        <w:t xml:space="preserve">(a)</w:t>
      </w:r>
      <w:r>
        <w:t xml:space="preserve">) show barley cultivated in poor to moderate watering conditions, which would indicate that the plants have been dependent on natural precipitation with little or no artificial irrigation in an arid climatic regime</w:t>
      </w:r>
      <w:r>
        <w:t xml:space="preserve"> </w:t>
      </w:r>
      <w:r>
        <w:t xml:space="preserve">(</w:t>
      </w:r>
      <w:hyperlink w:anchor="ref-fletcher_etal07">
        <w:r>
          <w:rPr>
            <w:rStyle w:val="Hyperlink"/>
          </w:rPr>
          <w:t xml:space="preserve">Fletcher et al., 2007</w:t>
        </w:r>
      </w:hyperlink>
      <w:r>
        <w:t xml:space="preserve">;</w:t>
      </w:r>
      <w:r>
        <w:t xml:space="preserve"> </w:t>
      </w:r>
      <w:hyperlink w:anchor="ref-fernandez-crespo_etal19">
        <w:r>
          <w:rPr>
            <w:rStyle w:val="Hyperlink"/>
          </w:rPr>
          <w:t xml:space="preserve">Fernández-Crespo et al., 2019</w:t>
        </w:r>
      </w:hyperlink>
      <w:r>
        <w:t xml:space="preserve">)</w:t>
      </w:r>
      <w:r>
        <w:t xml:space="preserve">. The authors acknowledge the fact that the</w:t>
      </w:r>
      <w:r>
        <w:t xml:space="preserve"> </w:t>
      </w:r>
      <w:r>
        <w:t xml:space="preserve">‘</w:t>
      </w:r>
      <w:r>
        <w:t xml:space="preserve">watering bands</w:t>
      </w:r>
      <w:r>
        <w:t xml:space="preserve">’</w:t>
      </w:r>
      <w:r>
        <w:t xml:space="preserve"> </w:t>
      </w:r>
      <w:r>
        <w:t xml:space="preserve">construct established by</w:t>
      </w:r>
      <w:r>
        <w:t xml:space="preserve"> </w:t>
      </w:r>
      <w:r>
        <w:t xml:space="preserve">Wallace et al. (</w:t>
      </w:r>
      <w:hyperlink w:anchor="ref-wallace_etal13">
        <w:r>
          <w:rPr>
            <w:rStyle w:val="Hyperlink"/>
          </w:rPr>
          <w:t xml:space="preserve">2013</w:t>
        </w:r>
      </w:hyperlink>
      <w:r>
        <w:t xml:space="preserve">)</w:t>
      </w:r>
      <w:r>
        <w:t xml:space="preserve"> </w:t>
      </w:r>
      <w:r>
        <w:t xml:space="preserve">has its limitations. However, in this study the Δ</w:t>
      </w:r>
      <w:r>
        <w:rPr>
          <w:vertAlign w:val="superscript"/>
        </w:rPr>
        <w:t xml:space="preserve">13</w:t>
      </w:r>
      <w:r>
        <w:t xml:space="preserve">C isotope values of the plant remains are in agreement with the regional climatic regime data of Algarve</w:t>
      </w:r>
      <w:r>
        <w:t xml:space="preserve"> </w:t>
      </w:r>
      <w:r>
        <w:t xml:space="preserve">(</w:t>
      </w:r>
      <w:hyperlink w:anchor="ref-fletcher_etal07">
        <w:r>
          <w:rPr>
            <w:rStyle w:val="Hyperlink"/>
          </w:rPr>
          <w:t xml:space="preserve">Fletcher et al., 2007</w:t>
        </w:r>
      </w:hyperlink>
      <w:r>
        <w:t xml:space="preserve">)</w:t>
      </w:r>
      <w:r>
        <w:t xml:space="preserve">. This, combined with the lack of any other contemporary ethnobotanical isotope data from the region, justifies the use of watering bands. There is no significant difference in δ</w:t>
      </w:r>
      <w:r>
        <w:rPr>
          <w:vertAlign w:val="superscript"/>
        </w:rPr>
        <w:t xml:space="preserve">15</w:t>
      </w:r>
      <w:r>
        <w:t xml:space="preserve">N (t-statistic: 0.77, degrees of freedom: 4,</w:t>
      </w:r>
      <w:r>
        <w:t xml:space="preserve"> </w:t>
      </w:r>
      <w:r>
        <w:rPr>
          <w:i/>
          <w:iCs/>
        </w:rPr>
        <w:t xml:space="preserve">p</w:t>
      </w:r>
      <w:r>
        <w:t xml:space="preserve">-value: 0.49) between the two barley cultivars, but</w:t>
      </w:r>
      <w:r>
        <w:t xml:space="preserve"> </w:t>
      </w:r>
      <w:r>
        <w:rPr>
          <w:i/>
          <w:iCs/>
        </w:rPr>
        <w:t xml:space="preserve">Pinus pinea</w:t>
      </w:r>
      <w:r>
        <w:t xml:space="preserve"> </w:t>
      </w:r>
      <w:r>
        <w:t xml:space="preserve">yields higher δ</w:t>
      </w:r>
      <w:r>
        <w:rPr>
          <w:vertAlign w:val="superscript"/>
        </w:rPr>
        <w:t xml:space="preserve">15</w:t>
      </w:r>
      <w:r>
        <w:t xml:space="preserve">N values (Table 2). The δ</w:t>
      </w:r>
      <w:r>
        <w:rPr>
          <w:vertAlign w:val="superscript"/>
        </w:rPr>
        <w:t xml:space="preserve">15</w:t>
      </w:r>
      <w:r>
        <w:t xml:space="preserve">N mean values of C</w:t>
      </w:r>
      <w:r>
        <w:rPr>
          <w:vertAlign w:val="subscript"/>
        </w:rPr>
        <w:t xml:space="preserve">3</w:t>
      </w:r>
      <w:r>
        <w:t xml:space="preserve"> </w:t>
      </w:r>
      <w:r>
        <w:t xml:space="preserve">plants near salt marshes are higher when compared to coastal and inland sites</w:t>
      </w:r>
      <w:r>
        <w:t xml:space="preserve"> </w:t>
      </w:r>
      <w:r>
        <w:t xml:space="preserve">(</w:t>
      </w:r>
      <w:hyperlink w:anchor="ref-cloern_etal02">
        <w:r>
          <w:rPr>
            <w:rStyle w:val="Hyperlink"/>
          </w:rPr>
          <w:t xml:space="preserve">Cloern et al., 2002</w:t>
        </w:r>
      </w:hyperlink>
      <w:r>
        <w:t xml:space="preserve">)</w:t>
      </w:r>
      <w:r>
        <w:t xml:space="preserve">. The stone pine samples exhibit higher mean values than the barley cultivars despite the possibility that the latter could be subjected to manuring regimes (Figure</w:t>
      </w:r>
      <w:r>
        <w:t xml:space="preserve"> </w:t>
      </w:r>
      <w:r>
        <w:t xml:space="preserve">4</w:t>
      </w:r>
      <w:r>
        <w:t xml:space="preserve"> </w:t>
      </w:r>
      <w:r>
        <w:rPr>
          <w:b/>
          <w:bCs/>
        </w:rPr>
        <w:t xml:space="preserve">(b)</w:t>
      </w:r>
      <w:r>
        <w:t xml:space="preserve">). Both cultivars of barley yield enriched δ</w:t>
      </w:r>
      <w:r>
        <w:rPr>
          <w:vertAlign w:val="superscript"/>
        </w:rPr>
        <w:t xml:space="preserve">15</w:t>
      </w:r>
      <w:r>
        <w:t xml:space="preserve">N values compared to estimated wild herb forage values (green shaded area in Figure</w:t>
      </w:r>
      <w:r>
        <w:t xml:space="preserve"> </w:t>
      </w:r>
      <w:r>
        <w:t xml:space="preserve">4</w:t>
      </w:r>
      <w:r>
        <w:t xml:space="preserve"> </w:t>
      </w:r>
      <w:r>
        <w:rPr>
          <w:b/>
          <w:bCs/>
        </w:rPr>
        <w:t xml:space="preserve">(b)</w:t>
      </w:r>
      <w:r>
        <w:t xml:space="preserve">). The Δ</w:t>
      </w:r>
      <w:r>
        <w:rPr>
          <w:vertAlign w:val="superscript"/>
        </w:rPr>
        <w:t xml:space="preserve">13</w:t>
      </w:r>
      <w:r>
        <w:t xml:space="preserve">C and δ</w:t>
      </w:r>
      <w:r>
        <w:rPr>
          <w:vertAlign w:val="superscript"/>
        </w:rPr>
        <w:t xml:space="preserve">15</w:t>
      </w:r>
      <w:r>
        <w:t xml:space="preserve">N values indicate that the barley was very likely cultivated in agricultural fields farther away from the coastline which would explain their poor to moderate watering conditions despite Castro Marim being close to the Guadiana estuary. Because the settlement was located on a narrow strip of land surrounded by water (Figure</w:t>
      </w:r>
      <w:r>
        <w:t xml:space="preserve"> </w:t>
      </w:r>
      <w:r>
        <w:t xml:space="preserve">2</w:t>
      </w:r>
      <w:r>
        <w:t xml:space="preserve">), the lack of space to grow crops could have been the primary reason for growing the barley away from the coast. However, this does not imply that stone pine origin could be from areas in proximity to the coastline and the salt marshes. This is reflected the Δ</w:t>
      </w:r>
      <w:r>
        <w:rPr>
          <w:vertAlign w:val="superscript"/>
        </w:rPr>
        <w:t xml:space="preserve">13</w:t>
      </w:r>
      <w:r>
        <w:t xml:space="preserve">C values of stone pine which are similar to barley. The Δ</w:t>
      </w:r>
      <w:r>
        <w:rPr>
          <w:vertAlign w:val="superscript"/>
        </w:rPr>
        <w:t xml:space="preserve">13</w:t>
      </w:r>
      <w:r>
        <w:t xml:space="preserve">C values of stone pine must be lower when compared to the barley cultivars as C</w:t>
      </w:r>
      <w:r>
        <w:rPr>
          <w:vertAlign w:val="subscript"/>
        </w:rPr>
        <w:t xml:space="preserve">3</w:t>
      </w:r>
      <w:r>
        <w:t xml:space="preserve"> </w:t>
      </w:r>
      <w:r>
        <w:t xml:space="preserve">plants become enriched with</w:t>
      </w:r>
      <w:r>
        <w:t xml:space="preserve"> </w:t>
      </w:r>
      <w:r>
        <w:rPr>
          <w:vertAlign w:val="superscript"/>
        </w:rPr>
        <w:t xml:space="preserve">13</w:t>
      </w:r>
      <w:r>
        <w:t xml:space="preserve">C isotope with increase in salinity, lowering the Δ</w:t>
      </w:r>
      <w:r>
        <w:rPr>
          <w:vertAlign w:val="superscript"/>
        </w:rPr>
        <w:t xml:space="preserve">13</w:t>
      </w:r>
      <w:r>
        <w:t xml:space="preserve">C value</w:t>
      </w:r>
      <w:r>
        <w:t xml:space="preserve"> </w:t>
      </w:r>
      <w:r>
        <w:t xml:space="preserve">(</w:t>
      </w:r>
      <w:hyperlink w:anchor="ref-smithepstein1970">
        <w:r>
          <w:rPr>
            <w:rStyle w:val="Hyperlink"/>
          </w:rPr>
          <w:t xml:space="preserve">Smith and Epstein, 1970</w:t>
        </w:r>
      </w:hyperlink>
      <w:r>
        <w:t xml:space="preserve">)</w:t>
      </w:r>
      <w:r>
        <w:t xml:space="preserve">. The elevated δ</w:t>
      </w:r>
      <w:r>
        <w:rPr>
          <w:vertAlign w:val="superscript"/>
        </w:rPr>
        <w:t xml:space="preserve">15</w:t>
      </w:r>
      <w:r>
        <w:t xml:space="preserve">N isotope values of the stone pine could be due its origin from an arid region</w:t>
      </w:r>
      <w:r>
        <w:t xml:space="preserve"> </w:t>
      </w:r>
      <w:r>
        <w:t xml:space="preserve">(</w:t>
      </w:r>
      <w:hyperlink w:anchor="ref-luoetal2018">
        <w:r>
          <w:rPr>
            <w:rStyle w:val="Hyperlink"/>
          </w:rPr>
          <w:t xml:space="preserve">Luo et al., 2018</w:t>
        </w:r>
      </w:hyperlink>
      <w:r>
        <w:t xml:space="preserve">)</w:t>
      </w:r>
      <w:r>
        <w:t xml:space="preserve"> </w:t>
      </w:r>
      <w:r>
        <w:t xml:space="preserve">or it could be from non-local origin with a different isotopic baseline.</w:t>
      </w:r>
    </w:p>
    <w:bookmarkEnd w:id="59"/>
    <w:bookmarkStart w:id="68" w:name="X3d7e09d717f578c469d949ede74c8e1caabad2f"/>
    <w:p>
      <w:pPr>
        <w:pStyle w:val="Heading2"/>
      </w:pPr>
      <w:r>
        <w:rPr>
          <w:rStyle w:val="SectionNumber"/>
        </w:rPr>
        <w:t xml:space="preserve">6.2</w:t>
      </w:r>
      <w:r>
        <w:tab/>
      </w:r>
      <w:r>
        <w:t xml:space="preserve">Stable isotopes of wild and domesticated fauna</w:t>
      </w:r>
    </w:p>
    <w:p>
      <w:pPr>
        <w:pStyle w:val="CaptionedFigure"/>
      </w:pPr>
      <w:r>
        <w:drawing>
          <wp:inline>
            <wp:extent cx="6197600" cy="5719783"/>
            <wp:effectExtent b="0" l="0" r="0" t="0"/>
            <wp:docPr descr="Figure 5: Plot showing mean δ13C and δ15N values (mean ± 1 SD range) of faunal bone collagen and botanical remains. The colour palette is produced with the Colorgorical web app (Gramazio et al., 2017)." title="" id="61" name="Picture"/>
            <a:graphic>
              <a:graphicData uri="http://schemas.openxmlformats.org/drawingml/2006/picture">
                <pic:pic>
                  <pic:nvPicPr>
                    <pic:cNvPr descr="C:/Users/rosha/Documents/R/Projects/castro_marim_phoenician/./images/fauna-carbnitro-iso-plot.jpg" id="62" name="Picture"/>
                    <pic:cNvPicPr>
                      <a:picLocks noChangeArrowheads="1" noChangeAspect="1"/>
                    </pic:cNvPicPr>
                  </pic:nvPicPr>
                  <pic:blipFill>
                    <a:blip r:embed="rId60"/>
                    <a:stretch>
                      <a:fillRect/>
                    </a:stretch>
                  </pic:blipFill>
                  <pic:spPr bwMode="auto">
                    <a:xfrm>
                      <a:off x="0" y="0"/>
                      <a:ext cx="6197600" cy="5719783"/>
                    </a:xfrm>
                    <a:prstGeom prst="rect">
                      <a:avLst/>
                    </a:prstGeom>
                    <a:noFill/>
                    <a:ln w="9525">
                      <a:noFill/>
                      <a:headEnd/>
                      <a:tailEnd/>
                    </a:ln>
                  </pic:spPr>
                </pic:pic>
              </a:graphicData>
            </a:graphic>
          </wp:inline>
        </w:drawing>
      </w:r>
    </w:p>
    <w:p>
      <w:pPr>
        <w:pStyle w:val="ImageCaption"/>
      </w:pPr>
      <w:bookmarkStart w:id="63" w:name="fig:fauna-carbnitro-iso-plot"/>
      <w:bookmarkEnd w:id="63"/>
      <w:r>
        <w:t xml:space="preserve">Figure 5: Plot showing mean δ</w:t>
      </w:r>
      <w:r>
        <w:rPr>
          <w:vertAlign w:val="superscript"/>
        </w:rPr>
        <w:t xml:space="preserve">13</w:t>
      </w:r>
      <w:r>
        <w:t xml:space="preserve">C and δ</w:t>
      </w:r>
      <w:r>
        <w:rPr>
          <w:vertAlign w:val="superscript"/>
        </w:rPr>
        <w:t xml:space="preserve">15</w:t>
      </w:r>
      <w:r>
        <w:t xml:space="preserve">N values (mean ± 1 SD range) of faunal bone collagen and botanical remains. The colour palette is produced with the Colorgorical web app</w:t>
      </w:r>
      <w:r>
        <w:t xml:space="preserve"> </w:t>
      </w:r>
      <w:r>
        <w:t xml:space="preserve">(</w:t>
      </w:r>
      <w:hyperlink w:anchor="ref-gramazio_etal17">
        <w:r>
          <w:rPr>
            <w:rStyle w:val="Hyperlink"/>
          </w:rPr>
          <w:t xml:space="preserve">Gramazio et al., 2017</w:t>
        </w:r>
      </w:hyperlink>
      <w:r>
        <w:t xml:space="preserve">)</w:t>
      </w:r>
      <w:r>
        <w:t xml:space="preserve">.</w:t>
      </w:r>
    </w:p>
    <w:p>
      <w:pPr>
        <w:pStyle w:val="CaptionedFigure"/>
      </w:pPr>
      <w:r>
        <w:drawing>
          <wp:inline>
            <wp:extent cx="6197600" cy="5609497"/>
            <wp:effectExtent b="0" l="0" r="0" t="0"/>
            <wp:docPr descr="Figure 6: Plot showing mean δ15N and δ34S values (mean ± 1 SD range) of faunal bone collagen. The yellow lines mark the range while the arrow indicates the decreasing trend of δ34S values as one moves inland away from the coast up to 30 km (Wakshal and Nielsen, 1982; Mizota and Sasaki, 1996; Nehlich, 2015)." title="" id="65" name="Picture"/>
            <a:graphic>
              <a:graphicData uri="http://schemas.openxmlformats.org/drawingml/2006/picture">
                <pic:pic>
                  <pic:nvPicPr>
                    <pic:cNvPr descr="C:/Users/rosha/Documents/R/Projects/castro_marim_phoenician/./images/fauna-nitrosulph-iso-plot.jpg" id="66" name="Picture"/>
                    <pic:cNvPicPr>
                      <a:picLocks noChangeArrowheads="1" noChangeAspect="1"/>
                    </pic:cNvPicPr>
                  </pic:nvPicPr>
                  <pic:blipFill>
                    <a:blip r:embed="rId64"/>
                    <a:stretch>
                      <a:fillRect/>
                    </a:stretch>
                  </pic:blipFill>
                  <pic:spPr bwMode="auto">
                    <a:xfrm>
                      <a:off x="0" y="0"/>
                      <a:ext cx="6197600" cy="5609497"/>
                    </a:xfrm>
                    <a:prstGeom prst="rect">
                      <a:avLst/>
                    </a:prstGeom>
                    <a:noFill/>
                    <a:ln w="9525">
                      <a:noFill/>
                      <a:headEnd/>
                      <a:tailEnd/>
                    </a:ln>
                  </pic:spPr>
                </pic:pic>
              </a:graphicData>
            </a:graphic>
          </wp:inline>
        </w:drawing>
      </w:r>
    </w:p>
    <w:p>
      <w:pPr>
        <w:pStyle w:val="ImageCaption"/>
      </w:pPr>
      <w:bookmarkStart w:id="67" w:name="fig:fauna-sulph-iso-plot"/>
      <w:bookmarkEnd w:id="67"/>
      <w:r>
        <w:t xml:space="preserve">Figure 6: Plot showing mean δ</w:t>
      </w:r>
      <w:r>
        <w:rPr>
          <w:vertAlign w:val="superscript"/>
        </w:rPr>
        <w:t xml:space="preserve">15</w:t>
      </w:r>
      <w:r>
        <w:t xml:space="preserve">N and δ</w:t>
      </w:r>
      <w:r>
        <w:rPr>
          <w:vertAlign w:val="superscript"/>
        </w:rPr>
        <w:t xml:space="preserve">34</w:t>
      </w:r>
      <w:r>
        <w:t xml:space="preserve">S values (mean ± 1 SD range) of faunal bone collagen. The yellow lines mark the range while the arrow indicates the decreasing trend of δ</w:t>
      </w:r>
      <w:r>
        <w:rPr>
          <w:vertAlign w:val="superscript"/>
        </w:rPr>
        <w:t xml:space="preserve">34</w:t>
      </w:r>
      <w:r>
        <w:t xml:space="preserve">S values as one moves inland away from the coast up to 30 km</w:t>
      </w:r>
      <w:r>
        <w:t xml:space="preserve"> </w:t>
      </w:r>
      <w:r>
        <w:t xml:space="preserve">(</w:t>
      </w:r>
      <w:hyperlink w:anchor="ref-wakshal_nielsen82">
        <w:r>
          <w:rPr>
            <w:rStyle w:val="Hyperlink"/>
          </w:rPr>
          <w:t xml:space="preserve">Wakshal and Nielsen, 1982</w:t>
        </w:r>
      </w:hyperlink>
      <w:r>
        <w:t xml:space="preserve">;</w:t>
      </w:r>
      <w:r>
        <w:t xml:space="preserve"> </w:t>
      </w:r>
      <w:hyperlink w:anchor="ref-mizota_sasaki96">
        <w:r>
          <w:rPr>
            <w:rStyle w:val="Hyperlink"/>
          </w:rPr>
          <w:t xml:space="preserve">Mizota and Sasaki, 1996</w:t>
        </w:r>
      </w:hyperlink>
      <w:r>
        <w:t xml:space="preserve">;</w:t>
      </w:r>
      <w:r>
        <w:t xml:space="preserve"> </w:t>
      </w:r>
      <w:hyperlink w:anchor="ref-nehlich15">
        <w:r>
          <w:rPr>
            <w:rStyle w:val="Hyperlink"/>
          </w:rPr>
          <w:t xml:space="preserve">Nehlich, 2015</w:t>
        </w:r>
      </w:hyperlink>
      <w:r>
        <w:t xml:space="preserve">)</w:t>
      </w:r>
      <w:r>
        <w:t xml:space="preserve">.</w:t>
      </w:r>
    </w:p>
    <w:p>
      <w:pPr>
        <w:pStyle w:val="BodyText"/>
      </w:pPr>
      <w:r>
        <w:t xml:space="preserve">Red deer when compared to other fauna have similar δ</w:t>
      </w:r>
      <w:r>
        <w:rPr>
          <w:vertAlign w:val="superscript"/>
        </w:rPr>
        <w:t xml:space="preserve">13</w:t>
      </w:r>
      <w:r>
        <w:t xml:space="preserve">C isotope values and lower δ</w:t>
      </w:r>
      <w:r>
        <w:rPr>
          <w:vertAlign w:val="superscript"/>
        </w:rPr>
        <w:t xml:space="preserve">15</w:t>
      </w:r>
      <w:r>
        <w:t xml:space="preserve">N values. Red deer mainly inhabit forested areas and surrounding open fields with a diet of grass, sedges, fruits, and seeds</w:t>
      </w:r>
      <w:r>
        <w:t xml:space="preserve"> </w:t>
      </w:r>
      <w:r>
        <w:t xml:space="preserve">(</w:t>
      </w:r>
      <w:hyperlink w:anchor="ref-gebertverheyden2001">
        <w:r>
          <w:rPr>
            <w:rStyle w:val="Hyperlink"/>
          </w:rPr>
          <w:t xml:space="preserve">Gebert and Verheyden-Tixier, 2001</w:t>
        </w:r>
      </w:hyperlink>
      <w:r>
        <w:t xml:space="preserve">)</w:t>
      </w:r>
      <w:r>
        <w:t xml:space="preserve">. The δ</w:t>
      </w:r>
      <w:r>
        <w:rPr>
          <w:vertAlign w:val="superscript"/>
        </w:rPr>
        <w:t xml:space="preserve">13</w:t>
      </w:r>
      <w:r>
        <w:t xml:space="preserve">C values and δ</w:t>
      </w:r>
      <w:r>
        <w:rPr>
          <w:vertAlign w:val="superscript"/>
        </w:rPr>
        <w:t xml:space="preserve">15</w:t>
      </w:r>
      <w:r>
        <w:t xml:space="preserve">N values of red deer indicate foraging on wild vegetation in open fields near the edges of forests of the coast. Red deer also exhibit some of the highest δ</w:t>
      </w:r>
      <w:r>
        <w:rPr>
          <w:vertAlign w:val="superscript"/>
        </w:rPr>
        <w:t xml:space="preserve">34</w:t>
      </w:r>
      <w:r>
        <w:t xml:space="preserve">S values which fall well within the expected range for areas affected by sea-spray. The red deer most likely were of local origin hunted as game for their meat. The mean δ</w:t>
      </w:r>
      <w:r>
        <w:rPr>
          <w:vertAlign w:val="superscript"/>
        </w:rPr>
        <w:t xml:space="preserve">13</w:t>
      </w:r>
      <w:r>
        <w:t xml:space="preserve">C values of rabbits are significantly lower than those of red deer (t-statistic: -4.01, degrees of freedom: 12,</w:t>
      </w:r>
      <w:r>
        <w:t xml:space="preserve"> </w:t>
      </w:r>
      <w:r>
        <w:rPr>
          <w:i/>
          <w:iCs/>
        </w:rPr>
        <w:t xml:space="preserve">p</w:t>
      </w:r>
      <w:r>
        <w:t xml:space="preserve">-value: 0). This can be attributed to the rabbits’ foraging ground level flora with high recycling of CO</w:t>
      </w:r>
      <w:r>
        <w:rPr>
          <w:vertAlign w:val="subscript"/>
        </w:rPr>
        <w:t xml:space="preserve">2</w:t>
      </w:r>
      <w:r>
        <w:t xml:space="preserve"> </w:t>
      </w:r>
      <w:r>
        <w:t xml:space="preserve">and shade from the higher levels of the canopy in contrast with the red deer foraging at taller vegetation. Feeding in forested areas causes the δ</w:t>
      </w:r>
      <w:r>
        <w:rPr>
          <w:vertAlign w:val="superscript"/>
        </w:rPr>
        <w:t xml:space="preserve">13</w:t>
      </w:r>
      <w:r>
        <w:t xml:space="preserve">C values to deplete due to the canopy effect</w:t>
      </w:r>
      <w:r>
        <w:t xml:space="preserve"> </w:t>
      </w:r>
      <w:r>
        <w:t xml:space="preserve">(</w:t>
      </w:r>
      <w:hyperlink w:anchor="ref-bonafini_etal13">
        <w:r>
          <w:rPr>
            <w:rStyle w:val="Hyperlink"/>
          </w:rPr>
          <w:t xml:space="preserve">Bonafini et al., 2013</w:t>
        </w:r>
      </w:hyperlink>
      <w:r>
        <w:t xml:space="preserve">)</w:t>
      </w:r>
      <w:r>
        <w:t xml:space="preserve">. The δ</w:t>
      </w:r>
      <w:r>
        <w:rPr>
          <w:vertAlign w:val="superscript"/>
        </w:rPr>
        <w:t xml:space="preserve">15</w:t>
      </w:r>
      <w:r>
        <w:t xml:space="preserve">N values of rabbits are anomalous with a standard deviation spanning almost a trophic level (standard deviation of δ</w:t>
      </w:r>
      <w:r>
        <w:rPr>
          <w:vertAlign w:val="superscript"/>
        </w:rPr>
        <w:t xml:space="preserve">15</w:t>
      </w:r>
      <w:r>
        <w:t xml:space="preserve">N: 3.5‰). It can be observed from Fig.</w:t>
      </w:r>
      <w:r>
        <w:t xml:space="preserve"> </w:t>
      </w:r>
      <w:r>
        <w:t xml:space="preserve">5</w:t>
      </w:r>
      <w:r>
        <w:t xml:space="preserve"> </w:t>
      </w:r>
      <w:r>
        <w:t xml:space="preserve">that the rabbits consist of two distinct groups, one group with higher δ</w:t>
      </w:r>
      <w:r>
        <w:rPr>
          <w:vertAlign w:val="superscript"/>
        </w:rPr>
        <w:t xml:space="preserve">13</w:t>
      </w:r>
      <w:r>
        <w:t xml:space="preserve">C and δ</w:t>
      </w:r>
      <w:r>
        <w:rPr>
          <w:vertAlign w:val="superscript"/>
        </w:rPr>
        <w:t xml:space="preserve">15</w:t>
      </w:r>
      <w:r>
        <w:t xml:space="preserve">N values compared to the other (Figure</w:t>
      </w:r>
      <w:r>
        <w:t xml:space="preserve"> </w:t>
      </w:r>
      <w:r>
        <w:t xml:space="preserve">5</w:t>
      </w:r>
      <w:r>
        <w:t xml:space="preserve">). The group of rabbits with higher δ</w:t>
      </w:r>
      <w:r>
        <w:rPr>
          <w:vertAlign w:val="superscript"/>
        </w:rPr>
        <w:t xml:space="preserve">15</w:t>
      </w:r>
      <w:r>
        <w:t xml:space="preserve">N values correspondingly have lower δ</w:t>
      </w:r>
      <w:r>
        <w:rPr>
          <w:vertAlign w:val="superscript"/>
        </w:rPr>
        <w:t xml:space="preserve">34</w:t>
      </w:r>
      <w:r>
        <w:t xml:space="preserve">S values (Fig.</w:t>
      </w:r>
      <w:r>
        <w:t xml:space="preserve"> </w:t>
      </w:r>
      <w:r>
        <w:t xml:space="preserve">6</w:t>
      </w:r>
      <w:r>
        <w:t xml:space="preserve">) which confirms salt marsh foraging</w:t>
      </w:r>
      <w:r>
        <w:t xml:space="preserve"> </w:t>
      </w:r>
      <w:r>
        <w:t xml:space="preserve">(</w:t>
      </w:r>
      <w:hyperlink w:anchor="ref-guiry_etal21a">
        <w:r>
          <w:rPr>
            <w:rStyle w:val="Hyperlink"/>
          </w:rPr>
          <w:t xml:space="preserve">Guiry et al., 2021</w:t>
        </w:r>
      </w:hyperlink>
      <w:r>
        <w:t xml:space="preserve">)</w:t>
      </w:r>
      <w:r>
        <w:t xml:space="preserve"> </w:t>
      </w:r>
      <w:r>
        <w:t xml:space="preserve">whereas the other group had more coastal foraging.</w:t>
      </w:r>
    </w:p>
    <w:p>
      <w:pPr>
        <w:pStyle w:val="BodyText"/>
      </w:pPr>
      <w:r>
        <w:t xml:space="preserve">Goat mean δ</w:t>
      </w:r>
      <w:r>
        <w:rPr>
          <w:vertAlign w:val="superscript"/>
        </w:rPr>
        <w:t xml:space="preserve">13</w:t>
      </w:r>
      <w:r>
        <w:t xml:space="preserve">C values are not significantly different from those of sheep (t-statistic: 0.61, degrees of freedom: 14,</w:t>
      </w:r>
      <w:r>
        <w:t xml:space="preserve"> </w:t>
      </w:r>
      <w:r>
        <w:rPr>
          <w:i/>
          <w:iCs/>
        </w:rPr>
        <w:t xml:space="preserve">p</w:t>
      </w:r>
      <w:r>
        <w:t xml:space="preserve">-value: 0.55). Though, the δ</w:t>
      </w:r>
      <w:r>
        <w:rPr>
          <w:vertAlign w:val="superscript"/>
        </w:rPr>
        <w:t xml:space="preserve">13</w:t>
      </w:r>
      <w:r>
        <w:t xml:space="preserve">C values of sheep and goats are not significantly different, the species have a very different foraging preferences</w:t>
      </w:r>
      <w:r>
        <w:t xml:space="preserve"> </w:t>
      </w:r>
      <w:r>
        <w:t xml:space="preserve">(</w:t>
      </w:r>
      <w:hyperlink w:anchor="ref-balasse2005">
        <w:r>
          <w:rPr>
            <w:rStyle w:val="Hyperlink"/>
          </w:rPr>
          <w:t xml:space="preserve">Balasse and Ambrose, 2005</w:t>
        </w:r>
      </w:hyperlink>
      <w:r>
        <w:t xml:space="preserve">)</w:t>
      </w:r>
      <w:r>
        <w:t xml:space="preserve">. Sheep are predominantly grazers and their dietary composition remains relatively unchanged throughout the year</w:t>
      </w:r>
      <w:r>
        <w:t xml:space="preserve"> </w:t>
      </w:r>
      <w:r>
        <w:t xml:space="preserve">(</w:t>
      </w:r>
      <w:hyperlink w:anchor="ref-dawsonellis1996">
        <w:r>
          <w:rPr>
            <w:rStyle w:val="Hyperlink"/>
          </w:rPr>
          <w:t xml:space="preserve">Dawson and Ellis, 1996</w:t>
        </w:r>
      </w:hyperlink>
      <w:r>
        <w:t xml:space="preserve">;</w:t>
      </w:r>
      <w:r>
        <w:t xml:space="preserve"> </w:t>
      </w:r>
      <w:hyperlink w:anchor="ref-balasse2005">
        <w:r>
          <w:rPr>
            <w:rStyle w:val="Hyperlink"/>
          </w:rPr>
          <w:t xml:space="preserve">Balasse and Ambrose, 2005</w:t>
        </w:r>
      </w:hyperlink>
      <w:r>
        <w:t xml:space="preserve">)</w:t>
      </w:r>
      <w:r>
        <w:t xml:space="preserve">. δ</w:t>
      </w:r>
      <w:r>
        <w:rPr>
          <w:vertAlign w:val="superscript"/>
        </w:rPr>
        <w:t xml:space="preserve">13</w:t>
      </w:r>
      <w:r>
        <w:t xml:space="preserve">C values of ovicaprids indicate that the vegetation is C</w:t>
      </w:r>
      <w:r>
        <w:rPr>
          <w:vertAlign w:val="subscript"/>
        </w:rPr>
        <w:t xml:space="preserve">3</w:t>
      </w:r>
      <w:r>
        <w:t xml:space="preserve"> </w:t>
      </w:r>
      <w:r>
        <w:t xml:space="preserve">in its nature. The sheep could have been grazing in open spaces such as agricultural fields or the fodder could be harvested grass or hay. Goats on the other hand have been reported prefer browsing over grazing, usually on the leaves of deep-rooted herbs, bushes, and trees</w:t>
      </w:r>
      <w:r>
        <w:t xml:space="preserve"> </w:t>
      </w:r>
      <w:r>
        <w:t xml:space="preserve">(</w:t>
      </w:r>
      <w:hyperlink w:anchor="ref-papachristou1997">
        <w:r>
          <w:rPr>
            <w:rStyle w:val="Hyperlink"/>
          </w:rPr>
          <w:t xml:space="preserve">Papachristou, 1997</w:t>
        </w:r>
      </w:hyperlink>
      <w:r>
        <w:t xml:space="preserve">)</w:t>
      </w:r>
      <w:r>
        <w:t xml:space="preserve">. The δ</w:t>
      </w:r>
      <w:r>
        <w:rPr>
          <w:vertAlign w:val="superscript"/>
        </w:rPr>
        <w:t xml:space="preserve">13</w:t>
      </w:r>
      <w:r>
        <w:t xml:space="preserve">C values of goats from Castro Marim also suggests a scenario of goats foraging in open forests. Sheep exhibit significantly higher δ</w:t>
      </w:r>
      <w:r>
        <w:rPr>
          <w:vertAlign w:val="superscript"/>
        </w:rPr>
        <w:t xml:space="preserve">15</w:t>
      </w:r>
      <w:r>
        <w:t xml:space="preserve">N values than goats (t-statistic: 2.5, degrees of freedom: 14,</w:t>
      </w:r>
      <w:r>
        <w:t xml:space="preserve"> </w:t>
      </w:r>
      <w:r>
        <w:rPr>
          <w:i/>
          <w:iCs/>
        </w:rPr>
        <w:t xml:space="preserve">p</w:t>
      </w:r>
      <w:r>
        <w:t xml:space="preserve">-value: 0.03). The δ</w:t>
      </w:r>
      <w:r>
        <w:rPr>
          <w:vertAlign w:val="superscript"/>
        </w:rPr>
        <w:t xml:space="preserve">15</w:t>
      </w:r>
      <w:r>
        <w:t xml:space="preserve">N values further support a scenario where sheep were foddered on manured vegetation with the assumption of uniform coastal impact on all vegetation (Figure</w:t>
      </w:r>
      <w:r>
        <w:t xml:space="preserve"> </w:t>
      </w:r>
      <w:r>
        <w:t xml:space="preserve">5</w:t>
      </w:r>
      <w:r>
        <w:t xml:space="preserve">). Sheep are superior to goats both in terms of secondary products and ease of management</w:t>
      </w:r>
      <w:r>
        <w:t xml:space="preserve"> </w:t>
      </w:r>
      <w:r>
        <w:t xml:space="preserve">(</w:t>
      </w:r>
      <w:hyperlink w:anchor="ref-rutter02">
        <w:r>
          <w:rPr>
            <w:rStyle w:val="Hyperlink"/>
          </w:rPr>
          <w:t xml:space="preserve">Rutter, 2002</w:t>
        </w:r>
      </w:hyperlink>
      <w:r>
        <w:t xml:space="preserve">;</w:t>
      </w:r>
      <w:r>
        <w:t xml:space="preserve"> </w:t>
      </w:r>
      <w:hyperlink w:anchor="ref-davis07">
        <w:r>
          <w:rPr>
            <w:rStyle w:val="Hyperlink"/>
          </w:rPr>
          <w:t xml:space="preserve">Davis, 2007</w:t>
        </w:r>
      </w:hyperlink>
      <w:r>
        <w:t xml:space="preserve">)</w:t>
      </w:r>
      <w:r>
        <w:t xml:space="preserve">. Owing to the more attached economic interests with sheep, it is natural to give food sourced from cultivated crops. This could either be in the form of the sheep grazing in manured agricultural fields or were penned in the settlement space with the fodder sourced from cultivated crops. Goats were most likely raised for meat and given their preference for browsing, were left to forage on wild vegetation. Although, proximity to the salt marsh masks the increase of δ</w:t>
      </w:r>
      <w:r>
        <w:rPr>
          <w:vertAlign w:val="superscript"/>
        </w:rPr>
        <w:t xml:space="preserve">15</w:t>
      </w:r>
      <w:r>
        <w:t xml:space="preserve">N (as seen in Figure</w:t>
      </w:r>
      <w:r>
        <w:t xml:space="preserve"> </w:t>
      </w:r>
      <w:r>
        <w:t xml:space="preserve">4</w:t>
      </w:r>
      <w:r>
        <w:t xml:space="preserve">) values caused by manuring in cultivated crops, the statistically significant difference of δ</w:t>
      </w:r>
      <w:r>
        <w:rPr>
          <w:vertAlign w:val="superscript"/>
        </w:rPr>
        <w:t xml:space="preserve">15</w:t>
      </w:r>
      <w:r>
        <w:t xml:space="preserve">N between goats and sheep is likely due to the consumption of manured crops. The δ</w:t>
      </w:r>
      <w:r>
        <w:rPr>
          <w:vertAlign w:val="superscript"/>
        </w:rPr>
        <w:t xml:space="preserve">34</w:t>
      </w:r>
      <w:r>
        <w:t xml:space="preserve">S values of the ovicaprids fall well within the expected range of herbivores foraging on vegetation affected by sea spray with no statistically significant difference between each other (t-statistic: -0.47, degrees of freedom: 12,</w:t>
      </w:r>
      <w:r>
        <w:t xml:space="preserve"> </w:t>
      </w:r>
      <w:r>
        <w:rPr>
          <w:i/>
          <w:iCs/>
        </w:rPr>
        <w:t xml:space="preserve">p</w:t>
      </w:r>
      <w:r>
        <w:t xml:space="preserve">-value: 0.65). The δ</w:t>
      </w:r>
      <w:r>
        <w:rPr>
          <w:vertAlign w:val="superscript"/>
        </w:rPr>
        <w:t xml:space="preserve">34</w:t>
      </w:r>
      <w:r>
        <w:t xml:space="preserve">S values suggest that the ovicaprids are most likely of coastal and local origin. This does not negate the possibility that the individuals could have arrived at Castro Marim from another coastal place which is equally possible due to the sea-faring nature of the Phoenicians. The cattle have no significantly different (t-statistic: -1.57, degrees of freedom: 16,</w:t>
      </w:r>
      <w:r>
        <w:t xml:space="preserve"> </w:t>
      </w:r>
      <w:r>
        <w:rPr>
          <w:i/>
          <w:iCs/>
        </w:rPr>
        <w:t xml:space="preserve">p</w:t>
      </w:r>
      <w:r>
        <w:t xml:space="preserve">-value: 0.14) δ</w:t>
      </w:r>
      <w:r>
        <w:rPr>
          <w:vertAlign w:val="superscript"/>
        </w:rPr>
        <w:t xml:space="preserve">13</w:t>
      </w:r>
      <w:r>
        <w:t xml:space="preserve">C isotope ratios when compared to sheep. Cattle also seem to have grazed in open areas similar to the sheep. The δ</w:t>
      </w:r>
      <w:r>
        <w:rPr>
          <w:vertAlign w:val="superscript"/>
        </w:rPr>
        <w:t xml:space="preserve">15</w:t>
      </w:r>
      <w:r>
        <w:t xml:space="preserve">N isotope ratios of cattle are also significantly not different from sheep (t-statistic: 0.13, degrees of freedom: 16,</w:t>
      </w:r>
      <w:r>
        <w:t xml:space="preserve"> </w:t>
      </w:r>
      <w:r>
        <w:rPr>
          <w:i/>
          <w:iCs/>
        </w:rPr>
        <w:t xml:space="preserve">p</w:t>
      </w:r>
      <w:r>
        <w:t xml:space="preserve">-value: 0.9). The δ</w:t>
      </w:r>
      <w:r>
        <w:rPr>
          <w:vertAlign w:val="superscript"/>
        </w:rPr>
        <w:t xml:space="preserve">34</w:t>
      </w:r>
      <w:r>
        <w:t xml:space="preserve">S values of cattle are also very similar to that of the sheep (t-statistic: 0.05, degrees of freedom: 12,</w:t>
      </w:r>
      <w:r>
        <w:t xml:space="preserve"> </w:t>
      </w:r>
      <w:r>
        <w:rPr>
          <w:i/>
          <w:iCs/>
        </w:rPr>
        <w:t xml:space="preserve">p</w:t>
      </w:r>
      <w:r>
        <w:t xml:space="preserve">-value: 0.96). Most of the cattle bones are from adults, which indicates that they were used as a source of power and only slaughtered for meat towards the end of their lives</w:t>
      </w:r>
      <w:r>
        <w:t xml:space="preserve"> </w:t>
      </w:r>
      <w:r>
        <w:t xml:space="preserve">(</w:t>
      </w:r>
      <w:hyperlink w:anchor="ref-davis07">
        <w:r>
          <w:rPr>
            <w:rStyle w:val="Hyperlink"/>
          </w:rPr>
          <w:t xml:space="preserve">Davis, 2007</w:t>
        </w:r>
      </w:hyperlink>
      <w:r>
        <w:t xml:space="preserve">)</w:t>
      </w:r>
      <w:r>
        <w:t xml:space="preserve">. Since they were used for labor intense tasks, their diet could have a considerable amount of cultivated crop components. All the three isotopic values of sheep and cattle present the image that the two domesticates were treated in a very similar manner and highly valued. Four sheep, two cattle, and one goat (Fig.</w:t>
      </w:r>
      <w:r>
        <w:t xml:space="preserve"> </w:t>
      </w:r>
      <w:r>
        <w:t xml:space="preserve">6</w:t>
      </w:r>
      <w:r>
        <w:t xml:space="preserve">) are the only specimens showing δ</w:t>
      </w:r>
      <w:r>
        <w:rPr>
          <w:vertAlign w:val="superscript"/>
        </w:rPr>
        <w:t xml:space="preserve">34</w:t>
      </w:r>
      <w:r>
        <w:t xml:space="preserve">S values lower than +10‰, falling outside the range of sea spray effect, which might be indicative of their non-coastal and non-local origin. The slightly less negative δ</w:t>
      </w:r>
      <w:r>
        <w:rPr>
          <w:vertAlign w:val="superscript"/>
        </w:rPr>
        <w:t xml:space="preserve">13</w:t>
      </w:r>
      <w:r>
        <w:t xml:space="preserve">C and high δ</w:t>
      </w:r>
      <w:r>
        <w:rPr>
          <w:vertAlign w:val="superscript"/>
        </w:rPr>
        <w:t xml:space="preserve">15</w:t>
      </w:r>
      <w:r>
        <w:t xml:space="preserve">N values of pigs reflect an omnivorous diet consisting of agricultural components and human food scraps similar to the Neolithic and Chalcolithic periods from Portugal</w:t>
      </w:r>
      <w:r>
        <w:t xml:space="preserve"> </w:t>
      </w:r>
      <w:r>
        <w:t xml:space="preserve">(</w:t>
      </w:r>
      <w:hyperlink w:anchor="ref-waterman_etal16">
        <w:r>
          <w:rPr>
            <w:rStyle w:val="Hyperlink"/>
          </w:rPr>
          <w:t xml:space="preserve">Waterman et al., 2016</w:t>
        </w:r>
      </w:hyperlink>
      <w:r>
        <w:t xml:space="preserve">;</w:t>
      </w:r>
      <w:r>
        <w:t xml:space="preserve"> </w:t>
      </w:r>
      <w:hyperlink w:anchor="ref-zalaite_etal18">
        <w:r>
          <w:rPr>
            <w:rStyle w:val="Hyperlink"/>
          </w:rPr>
          <w:t xml:space="preserve">Žalaitė et al., 2018</w:t>
        </w:r>
      </w:hyperlink>
      <w:r>
        <w:t xml:space="preserve">)</w:t>
      </w:r>
      <w:r>
        <w:t xml:space="preserve">. The slightly less negative δ</w:t>
      </w:r>
      <w:r>
        <w:rPr>
          <w:vertAlign w:val="superscript"/>
        </w:rPr>
        <w:t xml:space="preserve">13</w:t>
      </w:r>
      <w:r>
        <w:t xml:space="preserve">C values and δ</w:t>
      </w:r>
      <w:r>
        <w:rPr>
          <w:vertAlign w:val="superscript"/>
        </w:rPr>
        <w:t xml:space="preserve">34</w:t>
      </w:r>
      <w:r>
        <w:t xml:space="preserve">S of the pigs (Table 4), compared to cattle and sheep are likely due to presence of fish and shellfish (mollusks and crustaceans) in the human food scraps.</w:t>
      </w:r>
    </w:p>
    <w:p>
      <w:pPr>
        <w:pStyle w:val="BodyText"/>
      </w:pPr>
      <w:r>
        <w:t xml:space="preserve">The δ</w:t>
      </w:r>
      <w:r>
        <w:rPr>
          <w:vertAlign w:val="superscript"/>
        </w:rPr>
        <w:t xml:space="preserve">13</w:t>
      </w:r>
      <w:r>
        <w:t xml:space="preserve">C (t-statistic: 2.8, degrees of freedom: 12,</w:t>
      </w:r>
      <w:r>
        <w:t xml:space="preserve"> </w:t>
      </w:r>
      <w:r>
        <w:rPr>
          <w:i/>
          <w:iCs/>
        </w:rPr>
        <w:t xml:space="preserve">p</w:t>
      </w:r>
      <w:r>
        <w:t xml:space="preserve">-value: 0.02) and δ</w:t>
      </w:r>
      <w:r>
        <w:rPr>
          <w:vertAlign w:val="superscript"/>
        </w:rPr>
        <w:t xml:space="preserve">15</w:t>
      </w:r>
      <w:r>
        <w:t xml:space="preserve">N values (t-statistic: 6.26, degrees of freedom: 12,</w:t>
      </w:r>
      <w:r>
        <w:t xml:space="preserve"> </w:t>
      </w:r>
      <w:r>
        <w:rPr>
          <w:i/>
          <w:iCs/>
        </w:rPr>
        <w:t xml:space="preserve">p</w:t>
      </w:r>
      <w:r>
        <w:t xml:space="preserve">-value: 4</w:t>
      </w:r>
      <w:r>
        <w:t xml:space="preserve">^{-5}) of chicken and partridge are significantly different, while their δ</w:t>
      </w:r>
      <w:r>
        <w:rPr>
          <w:vertAlign w:val="superscript"/>
        </w:rPr>
        <w:t xml:space="preserve">34</w:t>
      </w:r>
      <w:r>
        <w:t xml:space="preserve">S values are not (t-statistic: 0.66, degrees of freedom: 12,</w:t>
      </w:r>
      <w:r>
        <w:t xml:space="preserve"> </w:t>
      </w:r>
      <w:r>
        <w:rPr>
          <w:i/>
          <w:iCs/>
        </w:rPr>
        <w:t xml:space="preserve">p</w:t>
      </w:r>
      <w:r>
        <w:t xml:space="preserve">-value: 0.52). Higher δ</w:t>
      </w:r>
      <w:r>
        <w:rPr>
          <w:vertAlign w:val="superscript"/>
        </w:rPr>
        <w:t xml:space="preserve">13</w:t>
      </w:r>
      <w:r>
        <w:t xml:space="preserve">C and δ</w:t>
      </w:r>
      <w:r>
        <w:rPr>
          <w:vertAlign w:val="superscript"/>
        </w:rPr>
        <w:t xml:space="preserve">15</w:t>
      </w:r>
      <w:r>
        <w:t xml:space="preserve">N values of the chicken can be attributed to its domesticated status, and indicate a diet of human food scraps with probably a marine component. Also, chicken eat insects alongside the human-provided food which can lead to an increase of δ</w:t>
      </w:r>
      <w:r>
        <w:rPr>
          <w:vertAlign w:val="superscript"/>
        </w:rPr>
        <w:t xml:space="preserve">15</w:t>
      </w:r>
      <w:r>
        <w:t xml:space="preserve">N values</w:t>
      </w:r>
      <w:r>
        <w:t xml:space="preserve"> </w:t>
      </w:r>
      <w:r>
        <w:t xml:space="preserve">(</w:t>
      </w:r>
      <w:hyperlink w:anchor="ref-zabinski1959">
        <w:r>
          <w:rPr>
            <w:rStyle w:val="Hyperlink"/>
          </w:rPr>
          <w:t xml:space="preserve">Żabiński, 1959</w:t>
        </w:r>
      </w:hyperlink>
      <w:r>
        <w:t xml:space="preserve">;</w:t>
      </w:r>
      <w:r>
        <w:t xml:space="preserve"> </w:t>
      </w:r>
      <w:hyperlink w:anchor="ref-reitsemaetal2013">
        <w:r>
          <w:rPr>
            <w:rStyle w:val="Hyperlink"/>
          </w:rPr>
          <w:t xml:space="preserve">Reitsema et al., 2013</w:t>
        </w:r>
      </w:hyperlink>
      <w:r>
        <w:t xml:space="preserve">)</w:t>
      </w:r>
      <w:r>
        <w:t xml:space="preserve">. Usual partridge diet consists of arthropods, grass seeds, flowers, and weeds while they prefer foraging at the edges of agricultural fields</w:t>
      </w:r>
      <w:r>
        <w:t xml:space="preserve"> </w:t>
      </w:r>
      <w:r>
        <w:t xml:space="preserve">(</w:t>
      </w:r>
      <w:hyperlink w:anchor="ref-green84">
        <w:r>
          <w:rPr>
            <w:rStyle w:val="Hyperlink"/>
          </w:rPr>
          <w:t xml:space="preserve">Green, 1984</w:t>
        </w:r>
      </w:hyperlink>
      <w:r>
        <w:t xml:space="preserve">)</w:t>
      </w:r>
      <w:r>
        <w:t xml:space="preserve"> </w:t>
      </w:r>
      <w:r>
        <w:t xml:space="preserve">which can explain the higher δ</w:t>
      </w:r>
      <w:r>
        <w:rPr>
          <w:vertAlign w:val="superscript"/>
        </w:rPr>
        <w:t xml:space="preserve">15</w:t>
      </w:r>
      <w:r>
        <w:t xml:space="preserve">N values in comparison with red deer. All the partridges recovered are adults, whereas the chickens constitute juvenile-adult mix, further indicative that the former were hunted for consumption.</w:t>
      </w:r>
    </w:p>
    <w:p>
      <w:pPr>
        <w:pStyle w:val="BodyText"/>
      </w:pPr>
      <w:r>
        <w:t xml:space="preserve">Grey plover has a mean δ</w:t>
      </w:r>
      <w:r>
        <w:rPr>
          <w:vertAlign w:val="superscript"/>
        </w:rPr>
        <w:t xml:space="preserve">13</w:t>
      </w:r>
      <w:r>
        <w:t xml:space="preserve">C value of -14.9‰ and a mean δ</w:t>
      </w:r>
      <w:r>
        <w:rPr>
          <w:vertAlign w:val="superscript"/>
        </w:rPr>
        <w:t xml:space="preserve">15</w:t>
      </w:r>
      <w:r>
        <w:t xml:space="preserve">N value of 10.3‰. Grey plovers are known to feed in muddy intertidal zones on insects (such as Coleoptera), polychaetes, mollusks, and crustaceans</w:t>
      </w:r>
      <w:r>
        <w:t xml:space="preserve"> </w:t>
      </w:r>
      <w:r>
        <w:t xml:space="preserve">(</w:t>
      </w:r>
      <w:hyperlink w:anchor="ref-perez-hurtado_etal97">
        <w:r>
          <w:rPr>
            <w:rStyle w:val="Hyperlink"/>
          </w:rPr>
          <w:t xml:space="preserve">Perez-Hurtado et al., 1997</w:t>
        </w:r>
      </w:hyperlink>
      <w:r>
        <w:t xml:space="preserve">)</w:t>
      </w:r>
      <w:r>
        <w:t xml:space="preserve">. The isotope values are consistent with a diet including both terrestrial and marine prey. The δ</w:t>
      </w:r>
      <w:r>
        <w:rPr>
          <w:vertAlign w:val="superscript"/>
        </w:rPr>
        <w:t xml:space="preserve">34</w:t>
      </w:r>
      <w:r>
        <w:t xml:space="preserve">S value of grey plover is outside the range expected for a partial marine diet since estuarine and intertidal zones have depleted δ</w:t>
      </w:r>
      <w:r>
        <w:rPr>
          <w:vertAlign w:val="superscript"/>
        </w:rPr>
        <w:t xml:space="preserve">34</w:t>
      </w:r>
      <w:r>
        <w:t xml:space="preserve">S isotope values</w:t>
      </w:r>
      <w:r>
        <w:t xml:space="preserve"> </w:t>
      </w:r>
      <w:r>
        <w:t xml:space="preserve">(</w:t>
      </w:r>
      <w:hyperlink w:anchor="ref-nehlich15">
        <w:r>
          <w:rPr>
            <w:rStyle w:val="Hyperlink"/>
          </w:rPr>
          <w:t xml:space="preserve">Nehlich, 2015</w:t>
        </w:r>
      </w:hyperlink>
      <w:r>
        <w:t xml:space="preserve">)</w:t>
      </w:r>
      <w:r>
        <w:t xml:space="preserve">. Kittiwake’s diet consists of fish, marine invertebrates, and plankton</w:t>
      </w:r>
      <w:r>
        <w:t xml:space="preserve"> </w:t>
      </w:r>
      <w:r>
        <w:t xml:space="preserve">(</w:t>
      </w:r>
      <w:hyperlink w:anchor="ref-bull_etal04">
        <w:r>
          <w:rPr>
            <w:rStyle w:val="Hyperlink"/>
          </w:rPr>
          <w:t xml:space="preserve">Bull et al., 2004</w:t>
        </w:r>
      </w:hyperlink>
      <w:r>
        <w:t xml:space="preserve">)</w:t>
      </w:r>
      <w:r>
        <w:t xml:space="preserve">. Kittiwake has a mean δ</w:t>
      </w:r>
      <w:r>
        <w:rPr>
          <w:vertAlign w:val="superscript"/>
        </w:rPr>
        <w:t xml:space="preserve">13</w:t>
      </w:r>
      <w:r>
        <w:t xml:space="preserve">C value of -15.5‰, mean δ</w:t>
      </w:r>
      <w:r>
        <w:rPr>
          <w:vertAlign w:val="superscript"/>
        </w:rPr>
        <w:t xml:space="preserve">15</w:t>
      </w:r>
      <w:r>
        <w:t xml:space="preserve">N value of 13.9‰, and a mean δ</w:t>
      </w:r>
      <w:r>
        <w:rPr>
          <w:vertAlign w:val="superscript"/>
        </w:rPr>
        <w:t xml:space="preserve">34</w:t>
      </w:r>
      <w:r>
        <w:t xml:space="preserve">S value of 15.8‰, as expected of a species with a marine diet.</w:t>
      </w:r>
    </w:p>
    <w:p>
      <w:pPr>
        <w:pStyle w:val="BodyText"/>
      </w:pPr>
      <w:r>
        <w:t xml:space="preserve">Overall, the domesticated mammals are not above one trophic level (4‰ δ</w:t>
      </w:r>
      <w:r>
        <w:rPr>
          <w:vertAlign w:val="superscript"/>
        </w:rPr>
        <w:t xml:space="preserve">15</w:t>
      </w:r>
      <w:r>
        <w:t xml:space="preserve">N) over the plants (both cultivated barley and stone pine) (Figure</w:t>
      </w:r>
      <w:r>
        <w:t xml:space="preserve"> </w:t>
      </w:r>
      <w:r>
        <w:t xml:space="preserve">5</w:t>
      </w:r>
      <w:r>
        <w:t xml:space="preserve">). Inland Iron Age domesticated mammals have mean δ</w:t>
      </w:r>
      <w:r>
        <w:rPr>
          <w:vertAlign w:val="superscript"/>
        </w:rPr>
        <w:t xml:space="preserve">13</w:t>
      </w:r>
      <w:r>
        <w:t xml:space="preserve">C values ranging between 21 - 23‰ (for C</w:t>
      </w:r>
      <w:r>
        <w:rPr>
          <w:vertAlign w:val="subscript"/>
        </w:rPr>
        <w:t xml:space="preserve">3</w:t>
      </w:r>
      <w:r>
        <w:t xml:space="preserve"> </w:t>
      </w:r>
      <w:r>
        <w:t xml:space="preserve">temperate ecosystem) and δ</w:t>
      </w:r>
      <w:r>
        <w:rPr>
          <w:vertAlign w:val="superscript"/>
        </w:rPr>
        <w:t xml:space="preserve">15</w:t>
      </w:r>
      <w:r>
        <w:t xml:space="preserve">N mean values ranging between 3-5‰ for herbivores and &gt; 6‰ for omnivores</w:t>
      </w:r>
      <w:r>
        <w:t xml:space="preserve"> </w:t>
      </w:r>
      <w:r>
        <w:t xml:space="preserve">(</w:t>
      </w:r>
      <w:hyperlink w:anchor="ref-styring_etal17">
        <w:r>
          <w:rPr>
            <w:rStyle w:val="Hyperlink"/>
          </w:rPr>
          <w:t xml:space="preserve">Styring et al., 2017</w:t>
        </w:r>
      </w:hyperlink>
      <w:r>
        <w:t xml:space="preserve">;</w:t>
      </w:r>
      <w:r>
        <w:t xml:space="preserve"> </w:t>
      </w:r>
      <w:hyperlink w:anchor="ref-fernandez-crespo_etal19">
        <w:r>
          <w:rPr>
            <w:rStyle w:val="Hyperlink"/>
          </w:rPr>
          <w:t xml:space="preserve">Fernández-Crespo et al., 2019</w:t>
        </w:r>
      </w:hyperlink>
      <w:r>
        <w:t xml:space="preserve">;</w:t>
      </w:r>
      <w:r>
        <w:t xml:space="preserve"> </w:t>
      </w:r>
      <w:hyperlink w:anchor="ref-hamilton_etal19">
        <w:r>
          <w:rPr>
            <w:rStyle w:val="Hyperlink"/>
          </w:rPr>
          <w:t xml:space="preserve">Hamilton et al., 2019</w:t>
        </w:r>
      </w:hyperlink>
      <w:r>
        <w:t xml:space="preserve">;</w:t>
      </w:r>
      <w:r>
        <w:t xml:space="preserve"> </w:t>
      </w:r>
      <w:hyperlink w:anchor="ref-schulting_etal19">
        <w:r>
          <w:rPr>
            <w:rStyle w:val="Hyperlink"/>
          </w:rPr>
          <w:t xml:space="preserve">Schulting et al., 2019</w:t>
        </w:r>
      </w:hyperlink>
      <w:r>
        <w:t xml:space="preserve">)</w:t>
      </w:r>
      <w:r>
        <w:t xml:space="preserve">. In comparison, the fauna at Castro Marim have similar δ</w:t>
      </w:r>
      <w:r>
        <w:rPr>
          <w:vertAlign w:val="superscript"/>
        </w:rPr>
        <w:t xml:space="preserve">13</w:t>
      </w:r>
      <w:r>
        <w:t xml:space="preserve">C values and slightly higher δ</w:t>
      </w:r>
      <w:r>
        <w:rPr>
          <w:vertAlign w:val="superscript"/>
        </w:rPr>
        <w:t xml:space="preserve">15</w:t>
      </w:r>
      <w:r>
        <w:t xml:space="preserve">N mean values. Apart from manuring, another reason for these slightly higher δ</w:t>
      </w:r>
      <w:r>
        <w:rPr>
          <w:vertAlign w:val="superscript"/>
        </w:rPr>
        <w:t xml:space="preserve">15</w:t>
      </w:r>
      <w:r>
        <w:t xml:space="preserve">N values could be due to the proximity of the site to the salt marsh. Most of the Castro Marim δ</w:t>
      </w:r>
      <w:r>
        <w:rPr>
          <w:vertAlign w:val="superscript"/>
        </w:rPr>
        <w:t xml:space="preserve">34</w:t>
      </w:r>
      <w:r>
        <w:t xml:space="preserve">S isotope values are well within the range of sea spray effect (Figure</w:t>
      </w:r>
      <w:r>
        <w:t xml:space="preserve"> </w:t>
      </w:r>
      <w:r>
        <w:t xml:space="preserve">6</w:t>
      </w:r>
      <w:r>
        <w:t xml:space="preserve">). The large spread of the δ</w:t>
      </w:r>
      <w:r>
        <w:rPr>
          <w:vertAlign w:val="superscript"/>
        </w:rPr>
        <w:t xml:space="preserve">34</w:t>
      </w:r>
      <w:r>
        <w:t xml:space="preserve">S values could be due to the foraging spaces being located away from the settlement (&lt; 30 kms) since Iron Age Castro Marim settlement was short of foraging space (Figure</w:t>
      </w:r>
      <w:r>
        <w:t xml:space="preserve"> </w:t>
      </w:r>
      <w:r>
        <w:t xml:space="preserve">2</w:t>
      </w:r>
      <w:r>
        <w:t xml:space="preserve">). The few individuals below the range can be considered as non-local.</w:t>
      </w:r>
    </w:p>
    <w:p>
      <w:pPr>
        <w:pStyle w:val="BodyText"/>
      </w:pPr>
      <w:r>
        <w:t xml:space="preserve">It is complicated to reconstruct farming and animal husbandry practices using stable isotope approach in an estuarine setting with coastal, salt marsh, and slightly inland ecosystems due to the existence of multiple isotope baselines.</w:t>
      </w:r>
    </w:p>
    <w:bookmarkEnd w:id="68"/>
    <w:bookmarkEnd w:id="69"/>
    <w:bookmarkStart w:id="70" w:name="conclusions"/>
    <w:p>
      <w:pPr>
        <w:pStyle w:val="Heading1"/>
      </w:pPr>
      <w:r>
        <w:rPr>
          <w:rStyle w:val="SectionNumber"/>
        </w:rPr>
        <w:t xml:space="preserve">7</w:t>
      </w:r>
      <w:r>
        <w:tab/>
      </w:r>
      <w:r>
        <w:t xml:space="preserve">Conclusions</w:t>
      </w:r>
    </w:p>
    <w:p>
      <w:pPr>
        <w:pStyle w:val="FirstParagraph"/>
      </w:pPr>
      <w:r>
        <w:t xml:space="preserve">The Δ</w:t>
      </w:r>
      <w:r>
        <w:rPr>
          <w:vertAlign w:val="superscript"/>
        </w:rPr>
        <w:t xml:space="preserve">13</w:t>
      </w:r>
      <w:r>
        <w:t xml:space="preserve">C values of the two barley cultivars indicate a certain level of dependence on natural precipitation with little to no artificial irrigation. Based on the Δ</w:t>
      </w:r>
      <w:r>
        <w:rPr>
          <w:vertAlign w:val="superscript"/>
        </w:rPr>
        <w:t xml:space="preserve">13</w:t>
      </w:r>
      <w:r>
        <w:t xml:space="preserve">C values, stone pine seems to have better watering status than the barley cultivars. The manuring of barley was masked by the high nitrogen nutrient soils of the salt marshes. The δ</w:t>
      </w:r>
      <w:r>
        <w:rPr>
          <w:vertAlign w:val="superscript"/>
        </w:rPr>
        <w:t xml:space="preserve">15</w:t>
      </w:r>
      <w:r>
        <w:t xml:space="preserve">N ratios of the stone pine are elevated due to the proximity of salt marsh. The δ</w:t>
      </w:r>
      <w:r>
        <w:rPr>
          <w:vertAlign w:val="superscript"/>
        </w:rPr>
        <w:t xml:space="preserve">15</w:t>
      </w:r>
      <w:r>
        <w:t xml:space="preserve">N values of stone pine are greater than those of the barley, indicating that the cultivation took place in locations far away from salt marshes which is evident from the absence of space near the settlement in the Iron Age. The significant difference between the mean δ</w:t>
      </w:r>
      <w:r>
        <w:rPr>
          <w:vertAlign w:val="superscript"/>
        </w:rPr>
        <w:t xml:space="preserve">15</w:t>
      </w:r>
      <w:r>
        <w:t xml:space="preserve">N values of sheep and goats can be due to manuring of cultivated crops. In the case of wild fauna, the δ</w:t>
      </w:r>
      <w:r>
        <w:rPr>
          <w:vertAlign w:val="superscript"/>
        </w:rPr>
        <w:t xml:space="preserve">13</w:t>
      </w:r>
      <w:r>
        <w:t xml:space="preserve">C and δ</w:t>
      </w:r>
      <w:r>
        <w:rPr>
          <w:vertAlign w:val="superscript"/>
        </w:rPr>
        <w:t xml:space="preserve">34</w:t>
      </w:r>
      <w:r>
        <w:t xml:space="preserve">S values of rabbits indicate foraging at ground level in closed settings, while those of red deer indicate grazing in coastal open forests. The δ</w:t>
      </w:r>
      <w:r>
        <w:rPr>
          <w:vertAlign w:val="superscript"/>
        </w:rPr>
        <w:t xml:space="preserve">15</w:t>
      </w:r>
      <w:r>
        <w:t xml:space="preserve">N and δ</w:t>
      </w:r>
      <w:r>
        <w:rPr>
          <w:vertAlign w:val="superscript"/>
        </w:rPr>
        <w:t xml:space="preserve">34</w:t>
      </w:r>
      <w:r>
        <w:t xml:space="preserve">S values of rabbits indicate two different groups, with one group foraging in salt marshes and the other in a more coastal setting. Ovicaprid δ</w:t>
      </w:r>
      <w:r>
        <w:rPr>
          <w:vertAlign w:val="superscript"/>
        </w:rPr>
        <w:t xml:space="preserve">13</w:t>
      </w:r>
      <w:r>
        <w:t xml:space="preserve">C and δ</w:t>
      </w:r>
      <w:r>
        <w:rPr>
          <w:vertAlign w:val="superscript"/>
        </w:rPr>
        <w:t xml:space="preserve">34</w:t>
      </w:r>
      <w:r>
        <w:t xml:space="preserve">S values indicate foraging in open pastures in proximity to the estuary. Comparing the δ</w:t>
      </w:r>
      <w:r>
        <w:rPr>
          <w:vertAlign w:val="superscript"/>
        </w:rPr>
        <w:t xml:space="preserve">15</w:t>
      </w:r>
      <w:r>
        <w:t xml:space="preserve">N ratios of sheep and goats shows that the former was fed by agricultural produce/by-products, which the latter lacked. The cattle also foraged in open coastal areas and had cultivated components in its diet similar to the sheep. Pigs exhibit δ</w:t>
      </w:r>
      <w:r>
        <w:rPr>
          <w:vertAlign w:val="superscript"/>
        </w:rPr>
        <w:t xml:space="preserve">13</w:t>
      </w:r>
      <w:r>
        <w:t xml:space="preserve">C and δ</w:t>
      </w:r>
      <w:r>
        <w:rPr>
          <w:vertAlign w:val="superscript"/>
        </w:rPr>
        <w:t xml:space="preserve">15</w:t>
      </w:r>
      <w:r>
        <w:t xml:space="preserve">N values consistent with an omnivorous diet. In the case of the seabirds, both grey plover and kittiwake exhibit δ</w:t>
      </w:r>
      <w:r>
        <w:rPr>
          <w:vertAlign w:val="superscript"/>
        </w:rPr>
        <w:t xml:space="preserve">13</w:t>
      </w:r>
      <w:r>
        <w:t xml:space="preserve">C, δ</w:t>
      </w:r>
      <w:r>
        <w:rPr>
          <w:vertAlign w:val="superscript"/>
        </w:rPr>
        <w:t xml:space="preserve">15</w:t>
      </w:r>
      <w:r>
        <w:t xml:space="preserve">N, and δ</w:t>
      </w:r>
      <w:r>
        <w:rPr>
          <w:vertAlign w:val="superscript"/>
        </w:rPr>
        <w:t xml:space="preserve">34</w:t>
      </w:r>
      <w:r>
        <w:t xml:space="preserve">S values consistent with their diet. Chicken δ</w:t>
      </w:r>
      <w:r>
        <w:rPr>
          <w:vertAlign w:val="superscript"/>
        </w:rPr>
        <w:t xml:space="preserve">13</w:t>
      </w:r>
      <w:r>
        <w:t xml:space="preserve">C and δ</w:t>
      </w:r>
      <w:r>
        <w:rPr>
          <w:vertAlign w:val="superscript"/>
        </w:rPr>
        <w:t xml:space="preserve">15</w:t>
      </w:r>
      <w:r>
        <w:t xml:space="preserve">N values are reflective of its domesticated status with a mixture of C</w:t>
      </w:r>
      <w:r>
        <w:rPr>
          <w:vertAlign w:val="subscript"/>
        </w:rPr>
        <w:t xml:space="preserve">3</w:t>
      </w:r>
      <w:r>
        <w:t xml:space="preserve"> </w:t>
      </w:r>
      <w:r>
        <w:t xml:space="preserve">plants, insects, and human food scraps (inclusive of fish, molluscs, and crustaceans). The δ</w:t>
      </w:r>
      <w:r>
        <w:rPr>
          <w:vertAlign w:val="superscript"/>
        </w:rPr>
        <w:t xml:space="preserve">15</w:t>
      </w:r>
      <w:r>
        <w:t xml:space="preserve">N values of the fauna are not a trophic level above the presented plant isotope values, which can be because of different isotope baselines or these plants were not a part of the former’s diet. The δ</w:t>
      </w:r>
      <w:r>
        <w:rPr>
          <w:vertAlign w:val="superscript"/>
        </w:rPr>
        <w:t xml:space="preserve">34</w:t>
      </w:r>
      <w:r>
        <w:t xml:space="preserve">S values of most fauna indicate foraging near an estuary (salt marsh and coastline), indicative of a local origin. Goats, pigs, and chickens have a low range of δ</w:t>
      </w:r>
      <w:r>
        <w:rPr>
          <w:vertAlign w:val="superscript"/>
        </w:rPr>
        <w:t xml:space="preserve">34</w:t>
      </w:r>
      <w:r>
        <w:t xml:space="preserve">S values due to penning in specific spaces. The δ</w:t>
      </w:r>
      <w:r>
        <w:rPr>
          <w:vertAlign w:val="superscript"/>
        </w:rPr>
        <w:t xml:space="preserve">34</w:t>
      </w:r>
      <w:r>
        <w:t xml:space="preserve">S values of cattle and sheep have a more extensive range of values which could be due to wider foraging range or some individuals being of non-local origin.</w:t>
      </w:r>
    </w:p>
    <w:p>
      <w:pPr>
        <w:pStyle w:val="BodyText"/>
      </w:pPr>
      <w:r>
        <w:t xml:space="preserve">This study is the first of its kind on Phoenician-Punic fauna from the Iberian Peninsula and provides a preliminary insight into the cultivation and husbandry practices in Castro Marim during the Iron Age.</w:t>
      </w:r>
    </w:p>
    <w:bookmarkEnd w:id="70"/>
    <w:bookmarkStart w:id="71" w:name="author-contributions"/>
    <w:p>
      <w:pPr>
        <w:pStyle w:val="Heading1"/>
      </w:pPr>
      <w:r>
        <w:rPr>
          <w:rStyle w:val="SectionNumber"/>
        </w:rPr>
        <w:t xml:space="preserve">8</w:t>
      </w:r>
      <w:r>
        <w:tab/>
      </w:r>
      <w:r>
        <w:t xml:space="preserve">Author Contributions</w:t>
      </w:r>
    </w:p>
    <w:p>
      <w:pPr>
        <w:pStyle w:val="FirstParagraph"/>
      </w:pPr>
      <w:r>
        <w:rPr>
          <w:b/>
          <w:bCs/>
        </w:rPr>
        <w:t xml:space="preserve">R.P</w:t>
      </w:r>
      <w:r>
        <w:t xml:space="preserve"> </w:t>
      </w:r>
      <w:r>
        <w:t xml:space="preserve">- Project conception, laboratory analyses, data analysis and visualization, and manuscript writing and editing;</w:t>
      </w:r>
      <w:r>
        <w:t xml:space="preserve"> </w:t>
      </w:r>
      <w:r>
        <w:rPr>
          <w:b/>
          <w:bCs/>
        </w:rPr>
        <w:t xml:space="preserve">A.C</w:t>
      </w:r>
      <w:r>
        <w:t xml:space="preserve"> </w:t>
      </w:r>
      <w:r>
        <w:t xml:space="preserve">- Laboratory Analyses, data analysis, article editing, and supervision;</w:t>
      </w:r>
      <w:r>
        <w:t xml:space="preserve"> </w:t>
      </w:r>
      <w:r>
        <w:rPr>
          <w:b/>
          <w:bCs/>
        </w:rPr>
        <w:t xml:space="preserve">G.J</w:t>
      </w:r>
      <w:r>
        <w:t xml:space="preserve"> </w:t>
      </w:r>
      <w:r>
        <w:t xml:space="preserve">- Data visualization;</w:t>
      </w:r>
      <w:r>
        <w:t xml:space="preserve"> </w:t>
      </w:r>
      <w:r>
        <w:rPr>
          <w:b/>
          <w:bCs/>
        </w:rPr>
        <w:t xml:space="preserve">F.D.R</w:t>
      </w:r>
      <w:r>
        <w:t xml:space="preserve"> </w:t>
      </w:r>
      <w:r>
        <w:t xml:space="preserve">- Project conception, manuscript editing, and supervision;</w:t>
      </w:r>
      <w:r>
        <w:t xml:space="preserve"> </w:t>
      </w:r>
      <w:r>
        <w:rPr>
          <w:b/>
          <w:bCs/>
        </w:rPr>
        <w:t xml:space="preserve">E.D.S</w:t>
      </w:r>
      <w:r>
        <w:t xml:space="preserve"> </w:t>
      </w:r>
      <w:r>
        <w:t xml:space="preserve">- Project conception, manuscript writing and editing;</w:t>
      </w:r>
      <w:r>
        <w:t xml:space="preserve"> </w:t>
      </w:r>
      <w:r>
        <w:rPr>
          <w:b/>
          <w:bCs/>
        </w:rPr>
        <w:t xml:space="preserve">A.M.A</w:t>
      </w:r>
      <w:r>
        <w:t xml:space="preserve"> </w:t>
      </w:r>
      <w:r>
        <w:t xml:space="preserve">- Project conception, manuscript writing and editing, and supervision;</w:t>
      </w:r>
      <w:r>
        <w:t xml:space="preserve"> </w:t>
      </w:r>
      <w:r>
        <w:rPr>
          <w:b/>
          <w:bCs/>
        </w:rPr>
        <w:t xml:space="preserve">A.F.M</w:t>
      </w:r>
      <w:r>
        <w:t xml:space="preserve"> </w:t>
      </w:r>
      <w:r>
        <w:t xml:space="preserve">- Laboratory analyses, data analysis and visualization, manuscript editing, and supervision;</w:t>
      </w:r>
      <w:r>
        <w:t xml:space="preserve"> </w:t>
      </w:r>
      <w:r>
        <w:rPr>
          <w:b/>
          <w:bCs/>
        </w:rPr>
        <w:t xml:space="preserve">D.M</w:t>
      </w:r>
      <w:r>
        <w:t xml:space="preserve"> </w:t>
      </w:r>
      <w:r>
        <w:t xml:space="preserve">- Project conception, manuscript writing and editing, supervision, and funding;</w:t>
      </w:r>
      <w:r>
        <w:t xml:space="preserve"> </w:t>
      </w:r>
      <w:r>
        <w:rPr>
          <w:b/>
          <w:bCs/>
        </w:rPr>
        <w:t xml:space="preserve">C.B.D</w:t>
      </w:r>
      <w:r>
        <w:t xml:space="preserve"> </w:t>
      </w:r>
      <w:r>
        <w:t xml:space="preserve">- Project conception, manuscript writing and editing, supervision, and funding;</w:t>
      </w:r>
    </w:p>
    <w:bookmarkEnd w:id="71"/>
    <w:bookmarkStart w:id="72" w:name="funding"/>
    <w:p>
      <w:pPr>
        <w:pStyle w:val="Heading1"/>
      </w:pPr>
      <w:r>
        <w:rPr>
          <w:rStyle w:val="SectionNumber"/>
        </w:rPr>
        <w:t xml:space="preserve">9</w:t>
      </w:r>
      <w:r>
        <w:tab/>
      </w:r>
      <w:r>
        <w:t xml:space="preserve">Funding</w:t>
      </w:r>
    </w:p>
    <w:p>
      <w:pPr>
        <w:pStyle w:val="FirstParagraph"/>
      </w:pPr>
      <w:r>
        <w:t xml:space="preserve">This project has received funding from the European Union’s Horizon 2020 research and innovation programme under the Marie Skłodowska-Curie grant agreement No. 766311.</w:t>
      </w:r>
    </w:p>
    <w:bookmarkEnd w:id="72"/>
    <w:bookmarkStart w:id="73" w:name="acknowledgements"/>
    <w:p>
      <w:pPr>
        <w:pStyle w:val="Heading1"/>
      </w:pPr>
      <w:r>
        <w:rPr>
          <w:rStyle w:val="SectionNumber"/>
        </w:rPr>
        <w:t xml:space="preserve">10</w:t>
      </w:r>
      <w:r>
        <w:tab/>
      </w:r>
      <w:r>
        <w:t xml:space="preserve">Acknowledgements</w:t>
      </w:r>
    </w:p>
    <w:p>
      <w:pPr>
        <w:pStyle w:val="FirstParagraph"/>
      </w:pPr>
      <w:r>
        <w:t xml:space="preserve">The ZooMS analysis was carried out by Samantha Presslee at BioArCh, University of York who gratefully acknowledges the use of the Ultraflex III MALDI-ToF/ToF instrument in the York Centre of Excellence in Mass Spectrometry. The centre was created thanks to a major capital investment through Science City York, supported by Yorkshire Forward with funds from the Northern Way Initiative, and subsequent support from EPSRC (EP/K039660/1; EP/M028127/1). The authors would like to thank Rui Parreira and Frederico Tátá Regala for providing access to the samples (Direção Regional de Cultura do Algarve, Faro).</w:t>
      </w:r>
    </w:p>
    <w:bookmarkEnd w:id="73"/>
    <w:bookmarkStart w:id="75" w:name="data-availability-statement"/>
    <w:p>
      <w:pPr>
        <w:pStyle w:val="Heading1"/>
      </w:pPr>
      <w:r>
        <w:rPr>
          <w:rStyle w:val="SectionNumber"/>
        </w:rPr>
        <w:t xml:space="preserve">11</w:t>
      </w:r>
      <w:r>
        <w:tab/>
      </w:r>
      <w:r>
        <w:t xml:space="preserve">Data Availability Statement</w:t>
      </w:r>
    </w:p>
    <w:p>
      <w:pPr>
        <w:pStyle w:val="FirstParagraph"/>
      </w:pPr>
      <w:r>
        <w:t xml:space="preserve">The R code and data used for the study can be accessed in the Supplementary Online Materials at</w:t>
      </w:r>
      <w:r>
        <w:t xml:space="preserve"> </w:t>
      </w:r>
      <w:hyperlink r:id="rId74">
        <w:r>
          <w:rPr>
            <w:rStyle w:val="Hyperlink"/>
          </w:rPr>
          <w:t xml:space="preserve">https://osf.io/gntzb/</w:t>
        </w:r>
      </w:hyperlink>
      <w:r>
        <w:t xml:space="preserve"> </w:t>
      </w:r>
      <w:r>
        <w:t xml:space="preserve">for reproducibility and transparency. The code is released under the MIT license, the data as CC-0, and figures as CC-BY, to enable maximum re-use.</w:t>
      </w:r>
    </w:p>
    <w:bookmarkEnd w:id="75"/>
    <w:bookmarkStart w:id="267" w:name="references"/>
    <w:p>
      <w:pPr>
        <w:pStyle w:val="Heading1"/>
      </w:pPr>
      <w:r>
        <w:t xml:space="preserve">References</w:t>
      </w:r>
    </w:p>
    <w:bookmarkStart w:id="266" w:name="refs"/>
    <w:bookmarkStart w:id="77" w:name="ref-ambrose90"/>
    <w:p>
      <w:pPr>
        <w:pStyle w:val="Bibliography"/>
      </w:pPr>
      <w:r>
        <w:t xml:space="preserve">Ambrose, S. H. (1990). Preparation and characterization of bone and tooth collagen for isotopic analysis.</w:t>
      </w:r>
      <w:r>
        <w:t xml:space="preserve"> </w:t>
      </w:r>
      <w:r>
        <w:rPr>
          <w:i/>
          <w:iCs/>
        </w:rPr>
        <w:t xml:space="preserve">Journal of Archaeological Science</w:t>
      </w:r>
      <w:r>
        <w:t xml:space="preserve"> </w:t>
      </w:r>
      <w:r>
        <w:t xml:space="preserve">17, 431–451. doi:</w:t>
      </w:r>
      <w:r>
        <w:t xml:space="preserve"> </w:t>
      </w:r>
      <w:hyperlink r:id="rId76">
        <w:r>
          <w:rPr>
            <w:rStyle w:val="Hyperlink"/>
          </w:rPr>
          <w:t xml:space="preserve">10.1016/0305-4403(90)90007-R</w:t>
        </w:r>
      </w:hyperlink>
    </w:p>
    <w:bookmarkEnd w:id="77"/>
    <w:bookmarkStart w:id="78" w:name="ref-arrastio99"/>
    <w:p>
      <w:pPr>
        <w:pStyle w:val="Bibliography"/>
      </w:pPr>
      <w:r>
        <w:t xml:space="preserve">Arrastio, F. J. M. (1999). Conflictos y perspectivas en el periodo precolonial tartésico.</w:t>
      </w:r>
      <w:r>
        <w:t xml:space="preserve"> </w:t>
      </w:r>
      <w:r>
        <w:rPr>
          <w:i/>
          <w:iCs/>
        </w:rPr>
        <w:t xml:space="preserve">Gerión. Revista de Historia Antigua</w:t>
      </w:r>
      <w:r>
        <w:t xml:space="preserve"> </w:t>
      </w:r>
      <w:r>
        <w:t xml:space="preserve">17, 149.</w:t>
      </w:r>
    </w:p>
    <w:bookmarkEnd w:id="78"/>
    <w:bookmarkStart w:id="79" w:name="ref-arrastio00"/>
    <w:p>
      <w:pPr>
        <w:pStyle w:val="Bibliography"/>
      </w:pPr>
      <w:r>
        <w:t xml:space="preserve">Arrastio, F. J. M. (2000). Tartessos, estelas, modelos pesimistas., in</w:t>
      </w:r>
      <w:r>
        <w:t xml:space="preserve"> </w:t>
      </w:r>
      <w:r>
        <w:rPr>
          <w:i/>
          <w:iCs/>
        </w:rPr>
        <w:t xml:space="preserve">Intercambio y comercio preclásico en el</w:t>
      </w:r>
      <w:r>
        <w:rPr>
          <w:i/>
          <w:iCs/>
        </w:rPr>
        <w:t xml:space="preserve"> </w:t>
      </w:r>
      <w:r>
        <w:rPr>
          <w:i/>
          <w:iCs/>
        </w:rPr>
        <w:t xml:space="preserve">Mediterráneo</w:t>
      </w:r>
      <w:r>
        <w:rPr>
          <w:i/>
          <w:iCs/>
        </w:rPr>
        <w:t xml:space="preserve">: Actas del</w:t>
      </w:r>
      <w:r>
        <w:rPr>
          <w:i/>
          <w:iCs/>
        </w:rPr>
        <w:t xml:space="preserve"> </w:t>
      </w:r>
      <w:r>
        <w:rPr>
          <w:i/>
          <w:iCs/>
        </w:rPr>
        <w:t xml:space="preserve">I</w:t>
      </w:r>
      <w:r>
        <w:rPr>
          <w:i/>
          <w:iCs/>
        </w:rPr>
        <w:t xml:space="preserve"> </w:t>
      </w:r>
      <w:r>
        <w:rPr>
          <w:i/>
          <w:iCs/>
        </w:rPr>
        <w:t xml:space="preserve">coloquio del</w:t>
      </w:r>
      <w:r>
        <w:rPr>
          <w:i/>
          <w:iCs/>
        </w:rPr>
        <w:t xml:space="preserve"> </w:t>
      </w:r>
      <w:r>
        <w:rPr>
          <w:i/>
          <w:iCs/>
        </w:rPr>
        <w:t xml:space="preserve">CEFYP</w:t>
      </w:r>
      <w:r>
        <w:rPr>
          <w:i/>
          <w:iCs/>
        </w:rPr>
        <w:t xml:space="preserve">,</w:t>
      </w:r>
      <w:r>
        <w:rPr>
          <w:i/>
          <w:iCs/>
        </w:rPr>
        <w:t xml:space="preserve"> </w:t>
      </w:r>
      <w:r>
        <w:rPr>
          <w:i/>
          <w:iCs/>
        </w:rPr>
        <w:t xml:space="preserve">Madrid</w:t>
      </w:r>
      <w:r>
        <w:rPr>
          <w:i/>
          <w:iCs/>
        </w:rPr>
        <w:t xml:space="preserve">, 9-12 de noviembre, 1998</w:t>
      </w:r>
      <w:r>
        <w:t xml:space="preserve">, (</w:t>
      </w:r>
      <w:r>
        <w:t xml:space="preserve">Centro de Estudios Fenicios y Púnicos</w:t>
      </w:r>
      <w:r>
        <w:t xml:space="preserve">), 153–174.</w:t>
      </w:r>
    </w:p>
    <w:bookmarkEnd w:id="79"/>
    <w:bookmarkStart w:id="80" w:name="ref-arruda96"/>
    <w:p>
      <w:pPr>
        <w:pStyle w:val="Bibliography"/>
      </w:pPr>
      <w:r>
        <w:t xml:space="preserve">Arruda, A. M. (1996).</w:t>
      </w:r>
      <w:r>
        <w:t xml:space="preserve"> </w:t>
      </w:r>
      <w:r>
        <w:t xml:space="preserve">“O</w:t>
      </w:r>
      <w:r>
        <w:t xml:space="preserve"> </w:t>
      </w:r>
      <w:r>
        <w:t xml:space="preserve">Castelo</w:t>
      </w:r>
      <w:r>
        <w:t xml:space="preserve"> </w:t>
      </w:r>
      <w:r>
        <w:t xml:space="preserve">de</w:t>
      </w:r>
      <w:r>
        <w:t xml:space="preserve"> </w:t>
      </w:r>
      <w:r>
        <w:t xml:space="preserve">Castro Marim</w:t>
      </w:r>
      <w:r>
        <w:t xml:space="preserve">,”</w:t>
      </w:r>
      <w:r>
        <w:t xml:space="preserve"> </w:t>
      </w:r>
      <w:r>
        <w:t xml:space="preserve">in</w:t>
      </w:r>
      <w:r>
        <w:t xml:space="preserve"> </w:t>
      </w:r>
      <w:r>
        <w:rPr>
          <w:i/>
          <w:iCs/>
        </w:rPr>
        <w:t xml:space="preserve">In</w:t>
      </w:r>
      <w:r>
        <w:rPr>
          <w:i/>
          <w:iCs/>
        </w:rPr>
        <w:t xml:space="preserve"> </w:t>
      </w:r>
      <w:r>
        <w:rPr>
          <w:i/>
          <w:iCs/>
        </w:rPr>
        <w:t xml:space="preserve">De Ulisses</w:t>
      </w:r>
      <w:r>
        <w:rPr>
          <w:i/>
          <w:iCs/>
        </w:rPr>
        <w:t xml:space="preserve"> </w:t>
      </w:r>
      <w:r>
        <w:rPr>
          <w:i/>
          <w:iCs/>
        </w:rPr>
        <w:t xml:space="preserve">a</w:t>
      </w:r>
      <w:r>
        <w:rPr>
          <w:i/>
          <w:iCs/>
        </w:rPr>
        <w:t xml:space="preserve"> </w:t>
      </w:r>
      <w:r>
        <w:rPr>
          <w:i/>
          <w:iCs/>
        </w:rPr>
        <w:t xml:space="preserve">Viriato</w:t>
      </w:r>
      <w:r>
        <w:rPr>
          <w:i/>
          <w:iCs/>
        </w:rPr>
        <w:t xml:space="preserve">.</w:t>
      </w:r>
      <w:r>
        <w:rPr>
          <w:i/>
          <w:iCs/>
        </w:rPr>
        <w:t xml:space="preserve"> </w:t>
      </w:r>
      <w:r>
        <w:rPr>
          <w:i/>
          <w:iCs/>
        </w:rPr>
        <w:t xml:space="preserve">O</w:t>
      </w:r>
      <w:r>
        <w:rPr>
          <w:i/>
          <w:iCs/>
        </w:rPr>
        <w:t xml:space="preserve"> </w:t>
      </w:r>
      <w:r>
        <w:rPr>
          <w:i/>
          <w:iCs/>
        </w:rPr>
        <w:t xml:space="preserve">primeiro milénio a.</w:t>
      </w:r>
      <w:r>
        <w:rPr>
          <w:i/>
          <w:iCs/>
        </w:rPr>
        <w:t xml:space="preserve">C</w:t>
      </w:r>
      <w:r>
        <w:rPr>
          <w:i/>
          <w:iCs/>
        </w:rPr>
        <w:t xml:space="preserve">..</w:t>
      </w:r>
      <w:r>
        <w:t xml:space="preserve">, (</w:t>
      </w:r>
      <w:r>
        <w:t xml:space="preserve">Lisboa</w:t>
      </w:r>
      <w:r>
        <w:t xml:space="preserve">:</w:t>
      </w:r>
      <w:r>
        <w:t xml:space="preserve"> </w:t>
      </w:r>
      <w:r>
        <w:t xml:space="preserve">Ministério da Cultura, Instituto Português de Museus, Museu Nacional de Arqueologia</w:t>
      </w:r>
      <w:r>
        <w:t xml:space="preserve">), 95–100.</w:t>
      </w:r>
    </w:p>
    <w:bookmarkEnd w:id="80"/>
    <w:bookmarkStart w:id="81" w:name="ref-arruda97"/>
    <w:p>
      <w:pPr>
        <w:pStyle w:val="Bibliography"/>
      </w:pPr>
      <w:r>
        <w:t xml:space="preserve">Arruda, A. M. (1997). Os núcleos urbanos litorais da</w:t>
      </w:r>
      <w:r>
        <w:t xml:space="preserve"> </w:t>
      </w:r>
      <w:r>
        <w:t xml:space="preserve">Idade</w:t>
      </w:r>
      <w:r>
        <w:t xml:space="preserve"> </w:t>
      </w:r>
      <w:r>
        <w:t xml:space="preserve">do</w:t>
      </w:r>
      <w:r>
        <w:t xml:space="preserve"> </w:t>
      </w:r>
      <w:r>
        <w:t xml:space="preserve">Ferro</w:t>
      </w:r>
      <w:r>
        <w:t xml:space="preserve"> </w:t>
      </w:r>
      <w:r>
        <w:t xml:space="preserve">no</w:t>
      </w:r>
      <w:r>
        <w:t xml:space="preserve"> </w:t>
      </w:r>
      <w:r>
        <w:t xml:space="preserve">Algarve</w:t>
      </w:r>
      <w:r>
        <w:t xml:space="preserve">.</w:t>
      </w:r>
      <w:r>
        <w:t xml:space="preserve"> </w:t>
      </w:r>
      <w:r>
        <w:rPr>
          <w:i/>
          <w:iCs/>
        </w:rPr>
        <w:t xml:space="preserve">Noventa Séculos entre a Serra e o Mar</w:t>
      </w:r>
      <w:r>
        <w:t xml:space="preserve">, 243–255.</w:t>
      </w:r>
    </w:p>
    <w:bookmarkEnd w:id="81"/>
    <w:bookmarkStart w:id="82" w:name="ref-arruda00"/>
    <w:p>
      <w:pPr>
        <w:pStyle w:val="Bibliography"/>
      </w:pPr>
      <w:r>
        <w:t xml:space="preserve">Arruda, A. M. (2000).</w:t>
      </w:r>
      <w:r>
        <w:t xml:space="preserve"> </w:t>
      </w:r>
      <w:r>
        <w:rPr>
          <w:i/>
          <w:iCs/>
        </w:rPr>
        <w:t xml:space="preserve">Los fenicios en</w:t>
      </w:r>
      <w:r>
        <w:rPr>
          <w:i/>
          <w:iCs/>
        </w:rPr>
        <w:t xml:space="preserve"> </w:t>
      </w:r>
      <w:r>
        <w:rPr>
          <w:i/>
          <w:iCs/>
        </w:rPr>
        <w:t xml:space="preserve">Portugal</w:t>
      </w:r>
      <w:r>
        <w:rPr>
          <w:i/>
          <w:iCs/>
        </w:rPr>
        <w:t xml:space="preserve">.</w:t>
      </w:r>
      <w:r>
        <w:rPr>
          <w:i/>
          <w:iCs/>
        </w:rPr>
        <w:t xml:space="preserve"> </w:t>
      </w:r>
      <w:r>
        <w:rPr>
          <w:i/>
          <w:iCs/>
        </w:rPr>
        <w:t xml:space="preserve">Fenicios</w:t>
      </w:r>
      <w:r>
        <w:rPr>
          <w:i/>
          <w:iCs/>
        </w:rPr>
        <w:t xml:space="preserve"> </w:t>
      </w:r>
      <w:r>
        <w:rPr>
          <w:i/>
          <w:iCs/>
        </w:rPr>
        <w:t xml:space="preserve">y mundo indígena en el centro y sur de</w:t>
      </w:r>
      <w:r>
        <w:rPr>
          <w:i/>
          <w:iCs/>
        </w:rPr>
        <w:t xml:space="preserve"> </w:t>
      </w:r>
      <w:r>
        <w:rPr>
          <w:i/>
          <w:iCs/>
        </w:rPr>
        <w:t xml:space="preserve">Portugal</w:t>
      </w:r>
      <w:r>
        <w:rPr>
          <w:i/>
          <w:iCs/>
        </w:rPr>
        <w:t xml:space="preserve"> </w:t>
      </w:r>
      <w:r>
        <w:rPr>
          <w:i/>
          <w:iCs/>
        </w:rPr>
        <w:t xml:space="preserve">(siglos</w:t>
      </w:r>
      <w:r>
        <w:rPr>
          <w:i/>
          <w:iCs/>
        </w:rPr>
        <w:t xml:space="preserve"> </w:t>
      </w:r>
      <w:r>
        <w:rPr>
          <w:i/>
          <w:iCs/>
        </w:rPr>
        <w:t xml:space="preserve">VIII</w:t>
      </w:r>
      <w:r>
        <w:rPr>
          <w:i/>
          <w:iCs/>
        </w:rPr>
        <w:t xml:space="preserve">-</w:t>
      </w:r>
      <w:r>
        <w:rPr>
          <w:i/>
          <w:iCs/>
        </w:rPr>
        <w:t xml:space="preserve">VI aC</w:t>
      </w:r>
      <w:r>
        <w:rPr>
          <w:i/>
          <w:iCs/>
        </w:rPr>
        <w:t xml:space="preserve">)</w:t>
      </w:r>
      <w:r>
        <w:t xml:space="preserve">.</w:t>
      </w:r>
      <w:r>
        <w:t xml:space="preserve"> </w:t>
      </w:r>
      <w:r>
        <w:t xml:space="preserve">Universidad Pompeu Fabra de Barcelona/Carrera Edició, SL</w:t>
      </w:r>
      <w:r>
        <w:t xml:space="preserve">.</w:t>
      </w:r>
    </w:p>
    <w:bookmarkEnd w:id="82"/>
    <w:bookmarkStart w:id="83" w:name="ref-arruda03"/>
    <w:p>
      <w:pPr>
        <w:pStyle w:val="Bibliography"/>
      </w:pPr>
      <w:r>
        <w:t xml:space="preserve">Arruda, A. M. (2003). Contributo da colonização fenícia para a domesticação da terra portuguesa.</w:t>
      </w:r>
      <w:r>
        <w:t xml:space="preserve"> </w:t>
      </w:r>
      <w:r>
        <w:rPr>
          <w:i/>
          <w:iCs/>
        </w:rPr>
        <w:t xml:space="preserve">Ecohistoria del paisaje agrario-la agricultura fenicio-púnica en el mediterráneo</w:t>
      </w:r>
      <w:r>
        <w:t xml:space="preserve">, 205–217.</w:t>
      </w:r>
    </w:p>
    <w:bookmarkEnd w:id="83"/>
    <w:bookmarkStart w:id="84" w:name="ref-arruda09"/>
    <w:p>
      <w:pPr>
        <w:pStyle w:val="Bibliography"/>
      </w:pPr>
      <w:r>
        <w:t xml:space="preserve">Arruda, A. M. (2009).</w:t>
      </w:r>
      <w:r>
        <w:t xml:space="preserve"> </w:t>
      </w:r>
      <w:r>
        <w:rPr>
          <w:i/>
          <w:iCs/>
        </w:rPr>
        <w:t xml:space="preserve">Phoenician colonization on the</w:t>
      </w:r>
      <w:r>
        <w:rPr>
          <w:i/>
          <w:iCs/>
        </w:rPr>
        <w:t xml:space="preserve"> </w:t>
      </w:r>
      <w:r>
        <w:rPr>
          <w:i/>
          <w:iCs/>
        </w:rPr>
        <w:t xml:space="preserve">Atlantic Coast</w:t>
      </w:r>
      <w:r>
        <w:rPr>
          <w:i/>
          <w:iCs/>
        </w:rPr>
        <w:t xml:space="preserve"> </w:t>
      </w:r>
      <w:r>
        <w:rPr>
          <w:i/>
          <w:iCs/>
        </w:rPr>
        <w:t xml:space="preserve">of the</w:t>
      </w:r>
      <w:r>
        <w:rPr>
          <w:i/>
          <w:iCs/>
        </w:rPr>
        <w:t xml:space="preserve"> </w:t>
      </w:r>
      <w:r>
        <w:rPr>
          <w:i/>
          <w:iCs/>
        </w:rPr>
        <w:t xml:space="preserve">Iberian Peninsula</w:t>
      </w:r>
      <w:r>
        <w:t xml:space="preserve">.</w:t>
      </w:r>
      <w:r>
        <w:t xml:space="preserve"> </w:t>
      </w:r>
      <w:r>
        <w:t xml:space="preserve">Chicago: The University of Chicago Press, 2009.</w:t>
      </w:r>
    </w:p>
    <w:bookmarkEnd w:id="84"/>
    <w:bookmarkStart w:id="85" w:name="ref-arruda_etal20"/>
    <w:p>
      <w:pPr>
        <w:pStyle w:val="Bibliography"/>
      </w:pPr>
      <w:r>
        <w:t xml:space="preserve">Arruda, A. M., Ferreira, D., and Sousa, E. de (2020).</w:t>
      </w:r>
      <w:r>
        <w:t xml:space="preserve"> </w:t>
      </w:r>
      <w:r>
        <w:rPr>
          <w:i/>
          <w:iCs/>
        </w:rPr>
        <w:t xml:space="preserve">A cerâmica grega do</w:t>
      </w:r>
      <w:r>
        <w:rPr>
          <w:i/>
          <w:iCs/>
        </w:rPr>
        <w:t xml:space="preserve"> </w:t>
      </w:r>
      <w:r>
        <w:rPr>
          <w:i/>
          <w:iCs/>
        </w:rPr>
        <w:t xml:space="preserve">Castelo</w:t>
      </w:r>
      <w:r>
        <w:rPr>
          <w:i/>
          <w:iCs/>
        </w:rPr>
        <w:t xml:space="preserve"> </w:t>
      </w:r>
      <w:r>
        <w:rPr>
          <w:i/>
          <w:iCs/>
        </w:rPr>
        <w:t xml:space="preserve">de</w:t>
      </w:r>
      <w:r>
        <w:rPr>
          <w:i/>
          <w:iCs/>
        </w:rPr>
        <w:t xml:space="preserve"> </w:t>
      </w:r>
      <w:r>
        <w:rPr>
          <w:i/>
          <w:iCs/>
        </w:rPr>
        <w:t xml:space="preserve">Castro Marim</w:t>
      </w:r>
      <w:r>
        <w:t xml:space="preserve">.</w:t>
      </w:r>
      <w:r>
        <w:t xml:space="preserve"> </w:t>
      </w:r>
      <w:r>
        <w:t xml:space="preserve">UNIARQ. Centro de Arqueologia da Universidade de Lisboa</w:t>
      </w:r>
      <w:r>
        <w:t xml:space="preserve">.</w:t>
      </w:r>
    </w:p>
    <w:bookmarkEnd w:id="85"/>
    <w:bookmarkStart w:id="86" w:name="ref-arruda_freitas08"/>
    <w:p>
      <w:pPr>
        <w:pStyle w:val="Bibliography"/>
      </w:pPr>
      <w:r>
        <w:t xml:space="preserve">Arruda, A. M., and Freitas, V. T. de (2008). O castelo de castro marim durante os séculos VI e v a.n.e.</w:t>
      </w:r>
      <w:r>
        <w:t xml:space="preserve"> </w:t>
      </w:r>
      <w:r>
        <w:rPr>
          <w:i/>
          <w:iCs/>
        </w:rPr>
        <w:t xml:space="preserve">Sidereum Ana I: El río Guadiana en época Post-Orientalizante.</w:t>
      </w:r>
      <w:r>
        <w:t xml:space="preserve">, 429–446.</w:t>
      </w:r>
    </w:p>
    <w:bookmarkEnd w:id="86"/>
    <w:bookmarkStart w:id="87" w:name="ref-arruda_etal13"/>
    <w:p>
      <w:pPr>
        <w:pStyle w:val="Bibliography"/>
      </w:pPr>
      <w:r>
        <w:t xml:space="preserve">Arruda, A. M., Soares, A. M., Freitas, V. T. de, Oliveira, C. F., Martins, J. M. M., and Portela, P. J. (2013). A cronologia relativa e absoluta da ocupação sidérica do</w:t>
      </w:r>
      <w:r>
        <w:t xml:space="preserve"> </w:t>
      </w:r>
      <w:r>
        <w:t xml:space="preserve">Castelo</w:t>
      </w:r>
      <w:r>
        <w:t xml:space="preserve"> </w:t>
      </w:r>
      <w:r>
        <w:t xml:space="preserve">de</w:t>
      </w:r>
      <w:r>
        <w:t xml:space="preserve"> </w:t>
      </w:r>
      <w:r>
        <w:t xml:space="preserve">Castro Marim</w:t>
      </w:r>
      <w:r>
        <w:t xml:space="preserve">.</w:t>
      </w:r>
      <w:r>
        <w:t xml:space="preserve"> </w:t>
      </w:r>
      <w:r>
        <w:rPr>
          <w:i/>
          <w:iCs/>
        </w:rPr>
        <w:t xml:space="preserve">Saguntum</w:t>
      </w:r>
      <w:r>
        <w:t xml:space="preserve"> </w:t>
      </w:r>
      <w:r>
        <w:t xml:space="preserve">45, 101–114.</w:t>
      </w:r>
    </w:p>
    <w:bookmarkEnd w:id="87"/>
    <w:bookmarkStart w:id="88" w:name="ref-arruda_etal06"/>
    <w:p>
      <w:pPr>
        <w:pStyle w:val="Bibliography"/>
      </w:pPr>
      <w:r>
        <w:t xml:space="preserve">Arruda, A. M., Viegas, C., Bargão, P., and Pereira, R. (2006). A importação de preparados de peixe em</w:t>
      </w:r>
      <w:r>
        <w:t xml:space="preserve"> </w:t>
      </w:r>
      <w:r>
        <w:t xml:space="preserve">Castro Marim</w:t>
      </w:r>
      <w:r>
        <w:t xml:space="preserve">: Da</w:t>
      </w:r>
      <w:r>
        <w:t xml:space="preserve"> </w:t>
      </w:r>
      <w:r>
        <w:t xml:space="preserve">Idade</w:t>
      </w:r>
      <w:r>
        <w:t xml:space="preserve"> </w:t>
      </w:r>
      <w:r>
        <w:t xml:space="preserve">do</w:t>
      </w:r>
      <w:r>
        <w:t xml:space="preserve"> </w:t>
      </w:r>
      <w:r>
        <w:t xml:space="preserve">Ferro</w:t>
      </w:r>
      <w:r>
        <w:t xml:space="preserve"> </w:t>
      </w:r>
      <w:r>
        <w:t xml:space="preserve">à</w:t>
      </w:r>
      <w:r>
        <w:t xml:space="preserve"> </w:t>
      </w:r>
      <w:r>
        <w:t xml:space="preserve">Época Romana</w:t>
      </w:r>
      <w:r>
        <w:t xml:space="preserve">.</w:t>
      </w:r>
      <w:r>
        <w:t xml:space="preserve"> </w:t>
      </w:r>
      <w:r>
        <w:rPr>
          <w:i/>
          <w:iCs/>
        </w:rPr>
        <w:t xml:space="preserve">Setúbal Arqueológica</w:t>
      </w:r>
      <w:r>
        <w:t xml:space="preserve"> </w:t>
      </w:r>
      <w:r>
        <w:t xml:space="preserve">13, 153–176.</w:t>
      </w:r>
    </w:p>
    <w:bookmarkEnd w:id="88"/>
    <w:bookmarkStart w:id="89" w:name="ref-aubet87"/>
    <w:p>
      <w:pPr>
        <w:pStyle w:val="Bibliography"/>
      </w:pPr>
      <w:r>
        <w:t xml:space="preserve">Aubet, M. E. (1987).</w:t>
      </w:r>
      <w:r>
        <w:t xml:space="preserve"> </w:t>
      </w:r>
      <w:r>
        <w:rPr>
          <w:i/>
          <w:iCs/>
        </w:rPr>
        <w:t xml:space="preserve">Tiro y las colonias fenicias de</w:t>
      </w:r>
      <w:r>
        <w:rPr>
          <w:i/>
          <w:iCs/>
        </w:rPr>
        <w:t xml:space="preserve"> </w:t>
      </w:r>
      <w:r>
        <w:rPr>
          <w:i/>
          <w:iCs/>
        </w:rPr>
        <w:t xml:space="preserve">Occidente</w:t>
      </w:r>
      <w:r>
        <w:t xml:space="preserve">.</w:t>
      </w:r>
      <w:r>
        <w:t xml:space="preserve"> </w:t>
      </w:r>
      <w:r>
        <w:t xml:space="preserve">Ed. Bellaterra</w:t>
      </w:r>
      <w:r>
        <w:t xml:space="preserve">.</w:t>
      </w:r>
    </w:p>
    <w:bookmarkEnd w:id="89"/>
    <w:bookmarkStart w:id="90" w:name="ref-aubet01"/>
    <w:p>
      <w:pPr>
        <w:pStyle w:val="Bibliography"/>
      </w:pPr>
      <w:r>
        <w:t xml:space="preserve">Aubet, M. E. (2001).</w:t>
      </w:r>
      <w:r>
        <w:t xml:space="preserve"> </w:t>
      </w:r>
      <w:r>
        <w:rPr>
          <w:i/>
          <w:iCs/>
        </w:rPr>
        <w:t xml:space="preserve">The</w:t>
      </w:r>
      <w:r>
        <w:rPr>
          <w:i/>
          <w:iCs/>
        </w:rPr>
        <w:t xml:space="preserve"> </w:t>
      </w:r>
      <w:r>
        <w:rPr>
          <w:i/>
          <w:iCs/>
        </w:rPr>
        <w:t xml:space="preserve">Phoenicians</w:t>
      </w:r>
      <w:r>
        <w:rPr>
          <w:i/>
          <w:iCs/>
        </w:rPr>
        <w:t xml:space="preserve"> </w:t>
      </w:r>
      <w:r>
        <w:rPr>
          <w:i/>
          <w:iCs/>
        </w:rPr>
        <w:t xml:space="preserve">and the</w:t>
      </w:r>
      <w:r>
        <w:rPr>
          <w:i/>
          <w:iCs/>
        </w:rPr>
        <w:t xml:space="preserve"> </w:t>
      </w:r>
      <w:r>
        <w:rPr>
          <w:i/>
          <w:iCs/>
        </w:rPr>
        <w:t xml:space="preserve">West</w:t>
      </w:r>
      <w:r>
        <w:rPr>
          <w:i/>
          <w:iCs/>
        </w:rPr>
        <w:t xml:space="preserve">: Politics, colonies and trade</w:t>
      </w:r>
      <w:r>
        <w:t xml:space="preserve">.</w:t>
      </w:r>
      <w:r>
        <w:t xml:space="preserve"> </w:t>
      </w:r>
      <w:r>
        <w:t xml:space="preserve">Cambridge Univ. Press</w:t>
      </w:r>
      <w:r>
        <w:t xml:space="preserve">.</w:t>
      </w:r>
    </w:p>
    <w:bookmarkEnd w:id="90"/>
    <w:bookmarkStart w:id="92" w:name="ref-balasse2005"/>
    <w:p>
      <w:pPr>
        <w:pStyle w:val="Bibliography"/>
      </w:pPr>
      <w:r>
        <w:t xml:space="preserve">Balasse, M., and Ambrose, S. H. (2005). Distinguishing sheep and goats using dental morphology and stable carbon isotopes in</w:t>
      </w:r>
      <w:r>
        <w:t xml:space="preserve"> </w:t>
      </w:r>
      <w:r>
        <w:t xml:space="preserve">C4</w:t>
      </w:r>
      <w:r>
        <w:t xml:space="preserve"> </w:t>
      </w:r>
      <w:r>
        <w:t xml:space="preserve">grassland environments.</w:t>
      </w:r>
      <w:r>
        <w:t xml:space="preserve"> </w:t>
      </w:r>
      <w:r>
        <w:rPr>
          <w:i/>
          <w:iCs/>
        </w:rPr>
        <w:t xml:space="preserve">Journal of Archaeological Science</w:t>
      </w:r>
      <w:r>
        <w:t xml:space="preserve"> </w:t>
      </w:r>
      <w:r>
        <w:t xml:space="preserve">32, 691–702. doi:</w:t>
      </w:r>
      <w:r>
        <w:t xml:space="preserve"> </w:t>
      </w:r>
      <w:hyperlink r:id="rId91">
        <w:r>
          <w:rPr>
            <w:rStyle w:val="Hyperlink"/>
          </w:rPr>
          <w:t xml:space="preserve">10.1016/j.jas.2004.11.013</w:t>
        </w:r>
      </w:hyperlink>
    </w:p>
    <w:bookmarkEnd w:id="92"/>
    <w:bookmarkStart w:id="94" w:name="ref-bocherens_drucker03"/>
    <w:p>
      <w:pPr>
        <w:pStyle w:val="Bibliography"/>
      </w:pPr>
      <w:r>
        <w:t xml:space="preserve">Bocherens, H., and Drucker, D. (2003). Trophic level isotopic enrichment of carbon and nitrogen in bone collagen: Case studies from recent and ancient terrestrial ecosystems.</w:t>
      </w:r>
      <w:r>
        <w:t xml:space="preserve"> </w:t>
      </w:r>
      <w:r>
        <w:rPr>
          <w:i/>
          <w:iCs/>
        </w:rPr>
        <w:t xml:space="preserve">International Journal of Osteoarchaeology</w:t>
      </w:r>
      <w:r>
        <w:t xml:space="preserve"> </w:t>
      </w:r>
      <w:r>
        <w:t xml:space="preserve">13, 46–53. doi:</w:t>
      </w:r>
      <w:r>
        <w:t xml:space="preserve"> </w:t>
      </w:r>
      <w:hyperlink r:id="rId93">
        <w:r>
          <w:rPr>
            <w:rStyle w:val="Hyperlink"/>
          </w:rPr>
          <w:t xml:space="preserve">10.1002/oa.662</w:t>
        </w:r>
      </w:hyperlink>
    </w:p>
    <w:bookmarkEnd w:id="94"/>
    <w:bookmarkStart w:id="95" w:name="ref-boessneck_etal64"/>
    <w:p>
      <w:pPr>
        <w:pStyle w:val="Bibliography"/>
      </w:pPr>
      <w:r>
        <w:t xml:space="preserve">Boessneck, J., Müller, H.-H., and Teichert, M. (1964).</w:t>
      </w:r>
      <w:r>
        <w:t xml:space="preserve"> </w:t>
      </w:r>
      <w:r>
        <w:rPr>
          <w:i/>
          <w:iCs/>
        </w:rPr>
        <w:t xml:space="preserve">Osteologische</w:t>
      </w:r>
      <w:r>
        <w:rPr>
          <w:i/>
          <w:iCs/>
        </w:rPr>
        <w:t xml:space="preserve"> </w:t>
      </w:r>
      <w:r>
        <w:rPr>
          <w:i/>
          <w:iCs/>
        </w:rPr>
        <w:t xml:space="preserve">Unterscheidungsmerkmale</w:t>
      </w:r>
      <w:r>
        <w:rPr>
          <w:i/>
          <w:iCs/>
        </w:rPr>
        <w:t xml:space="preserve"> </w:t>
      </w:r>
      <w:r>
        <w:rPr>
          <w:i/>
          <w:iCs/>
        </w:rPr>
        <w:t xml:space="preserve">zwischen</w:t>
      </w:r>
      <w:r>
        <w:rPr>
          <w:i/>
          <w:iCs/>
        </w:rPr>
        <w:t xml:space="preserve"> </w:t>
      </w:r>
      <w:r>
        <w:rPr>
          <w:i/>
          <w:iCs/>
        </w:rPr>
        <w:t xml:space="preserve">Schaf</w:t>
      </w:r>
      <w:r>
        <w:rPr>
          <w:i/>
          <w:iCs/>
        </w:rPr>
        <w:t xml:space="preserve"> </w:t>
      </w:r>
      <w:r>
        <w:rPr>
          <w:i/>
          <w:iCs/>
        </w:rPr>
        <w:t xml:space="preserve">(</w:t>
      </w:r>
      <w:r>
        <w:rPr>
          <w:i/>
          <w:iCs/>
        </w:rPr>
        <w:t xml:space="preserve">Ovis</w:t>
      </w:r>
      <w:r>
        <w:rPr>
          <w:i/>
          <w:iCs/>
        </w:rPr>
        <w:t xml:space="preserve"> </w:t>
      </w:r>
      <w:r>
        <w:rPr>
          <w:i/>
          <w:iCs/>
        </w:rPr>
        <w:t xml:space="preserve">aries</w:t>
      </w:r>
      <w:r>
        <w:rPr>
          <w:i/>
          <w:iCs/>
        </w:rPr>
        <w:t xml:space="preserve"> </w:t>
      </w:r>
      <w:r>
        <w:rPr>
          <w:i/>
          <w:iCs/>
        </w:rPr>
        <w:t xml:space="preserve">Linné</w:t>
      </w:r>
      <w:r>
        <w:rPr>
          <w:i/>
          <w:iCs/>
        </w:rPr>
        <w:t xml:space="preserve">) und</w:t>
      </w:r>
      <w:r>
        <w:rPr>
          <w:i/>
          <w:iCs/>
        </w:rPr>
        <w:t xml:space="preserve"> </w:t>
      </w:r>
      <w:r>
        <w:rPr>
          <w:i/>
          <w:iCs/>
        </w:rPr>
        <w:t xml:space="preserve">Ziege</w:t>
      </w:r>
      <w:r>
        <w:rPr>
          <w:i/>
          <w:iCs/>
        </w:rPr>
        <w:t xml:space="preserve"> </w:t>
      </w:r>
      <w:r>
        <w:rPr>
          <w:i/>
          <w:iCs/>
        </w:rPr>
        <w:t xml:space="preserve">(</w:t>
      </w:r>
      <w:r>
        <w:rPr>
          <w:i/>
          <w:iCs/>
        </w:rPr>
        <w:t xml:space="preserve">Capra</w:t>
      </w:r>
      <w:r>
        <w:rPr>
          <w:i/>
          <w:iCs/>
        </w:rPr>
        <w:t xml:space="preserve"> </w:t>
      </w:r>
      <w:r>
        <w:rPr>
          <w:i/>
          <w:iCs/>
        </w:rPr>
        <w:t xml:space="preserve">hircus</w:t>
      </w:r>
      <w:r>
        <w:rPr>
          <w:i/>
          <w:iCs/>
        </w:rPr>
        <w:t xml:space="preserve"> </w:t>
      </w:r>
      <w:r>
        <w:rPr>
          <w:i/>
          <w:iCs/>
        </w:rPr>
        <w:t xml:space="preserve">Linné</w:t>
      </w:r>
      <w:r>
        <w:rPr>
          <w:i/>
          <w:iCs/>
        </w:rPr>
        <w:t xml:space="preserve">)</w:t>
      </w:r>
      <w:r>
        <w:t xml:space="preserve">.</w:t>
      </w:r>
      <w:r>
        <w:t xml:space="preserve"> </w:t>
      </w:r>
      <w:r>
        <w:t xml:space="preserve">Verlag nicht ermittelbar</w:t>
      </w:r>
      <w:r>
        <w:t xml:space="preserve">.</w:t>
      </w:r>
    </w:p>
    <w:bookmarkEnd w:id="95"/>
    <w:bookmarkStart w:id="97" w:name="ref-bogaard_etal13"/>
    <w:p>
      <w:pPr>
        <w:pStyle w:val="Bibliography"/>
      </w:pPr>
      <w:r>
        <w:t xml:space="preserve">Bogaard, A., Fraser, R., Heaton, T., Wallace, M., Vaiglova, P., Charles, M., et al. (2013). Crop manuring and intensive land management by</w:t>
      </w:r>
      <w:r>
        <w:t xml:space="preserve"> </w:t>
      </w:r>
      <w:r>
        <w:t xml:space="preserve">Europe</w:t>
      </w:r>
      <w:r>
        <w:t xml:space="preserve">’s first farmers.</w:t>
      </w:r>
      <w:r>
        <w:t xml:space="preserve"> </w:t>
      </w:r>
      <w:r>
        <w:rPr>
          <w:i/>
          <w:iCs/>
        </w:rPr>
        <w:t xml:space="preserve">PNAS</w:t>
      </w:r>
      <w:r>
        <w:t xml:space="preserve"> </w:t>
      </w:r>
      <w:r>
        <w:t xml:space="preserve">110, 12589–12594. doi:</w:t>
      </w:r>
      <w:r>
        <w:t xml:space="preserve"> </w:t>
      </w:r>
      <w:hyperlink r:id="rId96">
        <w:r>
          <w:rPr>
            <w:rStyle w:val="Hyperlink"/>
          </w:rPr>
          <w:t xml:space="preserve">10.1073/pnas.1305918110</w:t>
        </w:r>
      </w:hyperlink>
    </w:p>
    <w:bookmarkEnd w:id="97"/>
    <w:bookmarkStart w:id="99" w:name="ref-bogaard_etal07"/>
    <w:p>
      <w:pPr>
        <w:pStyle w:val="Bibliography"/>
      </w:pPr>
      <w:r>
        <w:t xml:space="preserve">Bogaard, A., Heaton, T. H. E., Poulton, P., and Merbach, I. (2007). The impact of manuring on nitrogen isotope ratios in cereals: Archaeological implications for reconstruction of diet and crop management practices.</w:t>
      </w:r>
      <w:r>
        <w:t xml:space="preserve"> </w:t>
      </w:r>
      <w:r>
        <w:rPr>
          <w:i/>
          <w:iCs/>
        </w:rPr>
        <w:t xml:space="preserve">Journal of Archaeological Science</w:t>
      </w:r>
      <w:r>
        <w:t xml:space="preserve"> </w:t>
      </w:r>
      <w:r>
        <w:t xml:space="preserve">34, 335–343. doi:</w:t>
      </w:r>
      <w:r>
        <w:t xml:space="preserve"> </w:t>
      </w:r>
      <w:hyperlink r:id="rId98">
        <w:r>
          <w:rPr>
            <w:rStyle w:val="Hyperlink"/>
          </w:rPr>
          <w:t xml:space="preserve">10.1016/j.jas.2006.04.009</w:t>
        </w:r>
      </w:hyperlink>
    </w:p>
    <w:bookmarkEnd w:id="99"/>
    <w:bookmarkStart w:id="101" w:name="ref-bonafini_etal13"/>
    <w:p>
      <w:pPr>
        <w:pStyle w:val="Bibliography"/>
      </w:pPr>
      <w:r>
        <w:t xml:space="preserve">Bonafini, M., Pellegrini, M., Ditchfield, P., and Pollard, A. M. (2013). Investigation of the</w:t>
      </w:r>
      <w:r>
        <w:t xml:space="preserve"> </w:t>
      </w:r>
      <w:r>
        <w:t xml:space="preserve">“canopy effect”</w:t>
      </w:r>
      <w:r>
        <w:t xml:space="preserve"> </w:t>
      </w:r>
      <w:r>
        <w:t xml:space="preserve">in the isotope ecology of temperate woodlands.</w:t>
      </w:r>
      <w:r>
        <w:t xml:space="preserve"> </w:t>
      </w:r>
      <w:r>
        <w:rPr>
          <w:i/>
          <w:iCs/>
        </w:rPr>
        <w:t xml:space="preserve">Journal of Archaeological Science</w:t>
      </w:r>
      <w:r>
        <w:t xml:space="preserve"> </w:t>
      </w:r>
      <w:r>
        <w:t xml:space="preserve">40, 3926–3935. doi:</w:t>
      </w:r>
      <w:r>
        <w:t xml:space="preserve"> </w:t>
      </w:r>
      <w:hyperlink r:id="rId100">
        <w:r>
          <w:rPr>
            <w:rStyle w:val="Hyperlink"/>
          </w:rPr>
          <w:t xml:space="preserve">10.1016/j.jas.2013.03.028</w:t>
        </w:r>
      </w:hyperlink>
    </w:p>
    <w:bookmarkEnd w:id="101"/>
    <w:bookmarkStart w:id="103" w:name="ref-buckley_etal09"/>
    <w:p>
      <w:pPr>
        <w:pStyle w:val="Bibliography"/>
      </w:pPr>
      <w:r>
        <w:t xml:space="preserve">Buckley, M., Collins, M., Thomas‐Oates, J., and Wilson, J. C. (2009). Species identification by analysis of bone collagen using matrix-assisted laser desorption/ionisation time-of-flight mass spectrometry.</w:t>
      </w:r>
      <w:r>
        <w:t xml:space="preserve"> </w:t>
      </w:r>
      <w:r>
        <w:rPr>
          <w:i/>
          <w:iCs/>
        </w:rPr>
        <w:t xml:space="preserve">Rapid Communications in Mass Spectrometry</w:t>
      </w:r>
      <w:r>
        <w:t xml:space="preserve"> </w:t>
      </w:r>
      <w:r>
        <w:t xml:space="preserve">23, 3843–3854. doi:</w:t>
      </w:r>
      <w:r>
        <w:t xml:space="preserve"> </w:t>
      </w:r>
      <w:hyperlink r:id="rId102">
        <w:r>
          <w:rPr>
            <w:rStyle w:val="Hyperlink"/>
          </w:rPr>
          <w:t xml:space="preserve">10.1002/rcm.4316</w:t>
        </w:r>
      </w:hyperlink>
    </w:p>
    <w:bookmarkEnd w:id="103"/>
    <w:bookmarkStart w:id="105" w:name="ref-buckley_etal10"/>
    <w:p>
      <w:pPr>
        <w:pStyle w:val="Bibliography"/>
      </w:pPr>
      <w:r>
        <w:t xml:space="preserve">Buckley, M., Whitcher Kansa, S., Howard, S., Campbell, S., Thomas-Oates, J., and Collins, M. (2010). Distinguishing between archaeological sheep and goat bones using a single collagen peptide.</w:t>
      </w:r>
      <w:r>
        <w:t xml:space="preserve"> </w:t>
      </w:r>
      <w:r>
        <w:rPr>
          <w:i/>
          <w:iCs/>
        </w:rPr>
        <w:t xml:space="preserve">Journal of Archaeological Science</w:t>
      </w:r>
      <w:r>
        <w:t xml:space="preserve"> </w:t>
      </w:r>
      <w:r>
        <w:t xml:space="preserve">37, 13–20. doi:</w:t>
      </w:r>
      <w:r>
        <w:t xml:space="preserve"> </w:t>
      </w:r>
      <w:hyperlink r:id="rId104">
        <w:r>
          <w:rPr>
            <w:rStyle w:val="Hyperlink"/>
          </w:rPr>
          <w:t xml:space="preserve">10.1016/j.jas.2009.08.020</w:t>
        </w:r>
      </w:hyperlink>
    </w:p>
    <w:bookmarkEnd w:id="105"/>
    <w:bookmarkStart w:id="106" w:name="ref-bull_etal04"/>
    <w:p>
      <w:pPr>
        <w:pStyle w:val="Bibliography"/>
      </w:pPr>
      <w:r>
        <w:t xml:space="preserve">Bull, J., Wanless, S., Elston, D. A., Daunt, F., Lewis, S., Harris, M. P., et al. (2004). Local-scale variability in the diet of</w:t>
      </w:r>
      <w:r>
        <w:t xml:space="preserve"> </w:t>
      </w:r>
      <w:r>
        <w:t xml:space="preserve">Black-legged Kittiwakes Rissa</w:t>
      </w:r>
      <w:r>
        <w:t xml:space="preserve"> </w:t>
      </w:r>
      <w:r>
        <w:t xml:space="preserve">tridactyla.</w:t>
      </w:r>
      <w:r>
        <w:t xml:space="preserve"> </w:t>
      </w:r>
      <w:r>
        <w:rPr>
          <w:i/>
          <w:iCs/>
        </w:rPr>
        <w:t xml:space="preserve">Ardea</w:t>
      </w:r>
      <w:r>
        <w:t xml:space="preserve">, 43–52.</w:t>
      </w:r>
    </w:p>
    <w:bookmarkEnd w:id="106"/>
    <w:bookmarkStart w:id="108" w:name="ref-cloern_etal02"/>
    <w:p>
      <w:pPr>
        <w:pStyle w:val="Bibliography"/>
      </w:pPr>
      <w:r>
        <w:t xml:space="preserve">Cloern, J. E., Canuel, E. A., and Harris, D. (2002). Stable carbon and nitrogen isotope composition of aquatic and terrestrial plants of the</w:t>
      </w:r>
      <w:r>
        <w:t xml:space="preserve"> </w:t>
      </w:r>
      <w:r>
        <w:t xml:space="preserve">San Francisco Bay</w:t>
      </w:r>
      <w:r>
        <w:t xml:space="preserve"> </w:t>
      </w:r>
      <w:r>
        <w:t xml:space="preserve">estuarine system.</w:t>
      </w:r>
      <w:r>
        <w:t xml:space="preserve"> </w:t>
      </w:r>
      <w:r>
        <w:rPr>
          <w:i/>
          <w:iCs/>
        </w:rPr>
        <w:t xml:space="preserve">Limnology and Oceanography</w:t>
      </w:r>
      <w:r>
        <w:t xml:space="preserve"> </w:t>
      </w:r>
      <w:r>
        <w:t xml:space="preserve">47, 713–729. doi:</w:t>
      </w:r>
      <w:r>
        <w:t xml:space="preserve"> </w:t>
      </w:r>
      <w:hyperlink r:id="rId107">
        <w:r>
          <w:rPr>
            <w:rStyle w:val="Hyperlink"/>
          </w:rPr>
          <w:t xml:space="preserve">10.4319/lo.2002.47.3.0713</w:t>
        </w:r>
      </w:hyperlink>
    </w:p>
    <w:bookmarkEnd w:id="108"/>
    <w:bookmarkStart w:id="110" w:name="ref-coplen11"/>
    <w:p>
      <w:pPr>
        <w:pStyle w:val="Bibliography"/>
      </w:pPr>
      <w:r>
        <w:t xml:space="preserve">Coplen, T. B. (2011). Guidelines and recommended terms for expression of stable-isotope-ratio and gas-ratio measurement results.</w:t>
      </w:r>
      <w:r>
        <w:t xml:space="preserve"> </w:t>
      </w:r>
      <w:r>
        <w:rPr>
          <w:i/>
          <w:iCs/>
        </w:rPr>
        <w:t xml:space="preserve">Rapid Communications in Mass Spectrometry</w:t>
      </w:r>
      <w:r>
        <w:t xml:space="preserve"> </w:t>
      </w:r>
      <w:r>
        <w:t xml:space="preserve">25, 2538–2560. doi:</w:t>
      </w:r>
      <w:r>
        <w:t xml:space="preserve"> </w:t>
      </w:r>
      <w:hyperlink r:id="rId109">
        <w:r>
          <w:rPr>
            <w:rStyle w:val="Hyperlink"/>
          </w:rPr>
          <w:t xml:space="preserve">10.1002/rcm.5129</w:t>
        </w:r>
      </w:hyperlink>
    </w:p>
    <w:bookmarkEnd w:id="110"/>
    <w:bookmarkStart w:id="111" w:name="ref-coulsonetal2005"/>
    <w:p>
      <w:pPr>
        <w:pStyle w:val="Bibliography"/>
      </w:pPr>
      <w:r>
        <w:t xml:space="preserve">Coulson, J. P., Bottrell, S. H., and Lee, J. A. (2005). Recreating atmospheric sulphur deposition histories from peat stratigraphy: Diagenetic conditions required for signal preservation and reconstruction of past sulphur deposition in the</w:t>
      </w:r>
      <w:r>
        <w:t xml:space="preserve"> </w:t>
      </w:r>
      <w:r>
        <w:t xml:space="preserve">Derbyshire Peak District</w:t>
      </w:r>
      <w:r>
        <w:t xml:space="preserve">,</w:t>
      </w:r>
      <w:r>
        <w:t xml:space="preserve"> </w:t>
      </w:r>
      <w:r>
        <w:t xml:space="preserve">UK</w:t>
      </w:r>
      <w:r>
        <w:t xml:space="preserve">.</w:t>
      </w:r>
      <w:r>
        <w:t xml:space="preserve"> </w:t>
      </w:r>
      <w:r>
        <w:rPr>
          <w:i/>
          <w:iCs/>
        </w:rPr>
        <w:t xml:space="preserve">Chemical Geology</w:t>
      </w:r>
      <w:r>
        <w:t xml:space="preserve"> </w:t>
      </w:r>
      <w:r>
        <w:t xml:space="preserve">218, 223–248.</w:t>
      </w:r>
    </w:p>
    <w:bookmarkEnd w:id="111"/>
    <w:bookmarkStart w:id="112" w:name="ref-davis07"/>
    <w:p>
      <w:pPr>
        <w:pStyle w:val="Bibliography"/>
      </w:pPr>
      <w:r>
        <w:t xml:space="preserve">Davis, S. (2007). The mammals and birds from the</w:t>
      </w:r>
      <w:r>
        <w:t xml:space="preserve"> </w:t>
      </w:r>
      <w:r>
        <w:t xml:space="preserve">Iron Age</w:t>
      </w:r>
      <w:r>
        <w:t xml:space="preserve"> </w:t>
      </w:r>
      <w:r>
        <w:t xml:space="preserve">and</w:t>
      </w:r>
      <w:r>
        <w:t xml:space="preserve"> </w:t>
      </w:r>
      <w:r>
        <w:t xml:space="preserve">Roman</w:t>
      </w:r>
      <w:r>
        <w:t xml:space="preserve"> </w:t>
      </w:r>
      <w:r>
        <w:t xml:space="preserve">periods of</w:t>
      </w:r>
      <w:r>
        <w:t xml:space="preserve"> </w:t>
      </w:r>
      <w:r>
        <w:t xml:space="preserve">Castro Marim</w:t>
      </w:r>
      <w:r>
        <w:t xml:space="preserve">,</w:t>
      </w:r>
      <w:r>
        <w:t xml:space="preserve"> </w:t>
      </w:r>
      <w:r>
        <w:t xml:space="preserve">Algarve</w:t>
      </w:r>
      <w:r>
        <w:t xml:space="preserve">,</w:t>
      </w:r>
      <w:r>
        <w:t xml:space="preserve"> </w:t>
      </w:r>
      <w:r>
        <w:t xml:space="preserve">Portugal</w:t>
      </w:r>
      <w:r>
        <w:t xml:space="preserve">.</w:t>
      </w:r>
      <w:r>
        <w:t xml:space="preserve"> </w:t>
      </w:r>
      <w:r>
        <w:rPr>
          <w:i/>
          <w:iCs/>
        </w:rPr>
        <w:t xml:space="preserve">Trabalhos do CIPA</w:t>
      </w:r>
      <w:r>
        <w:t xml:space="preserve"> </w:t>
      </w:r>
      <w:r>
        <w:t xml:space="preserve">107.</w:t>
      </w:r>
    </w:p>
    <w:bookmarkEnd w:id="112"/>
    <w:bookmarkStart w:id="113" w:name="ref-dawsonellis1996"/>
    <w:p>
      <w:pPr>
        <w:pStyle w:val="Bibliography"/>
      </w:pPr>
      <w:r>
        <w:t xml:space="preserve">Dawson, T. J., and Ellis, B. A. (1996). Diets of mammalian herbivores in</w:t>
      </w:r>
      <w:r>
        <w:t xml:space="preserve"> </w:t>
      </w:r>
      <w:r>
        <w:t xml:space="preserve">Australian</w:t>
      </w:r>
      <w:r>
        <w:t xml:space="preserve"> </w:t>
      </w:r>
      <w:r>
        <w:t xml:space="preserve">arid, hilly shrublands: Seasonal effects on overlap between euros (hill kangaroos), sheep and feral goats, and on dietary niche breadths and electivities.</w:t>
      </w:r>
      <w:r>
        <w:t xml:space="preserve"> </w:t>
      </w:r>
      <w:r>
        <w:rPr>
          <w:i/>
          <w:iCs/>
        </w:rPr>
        <w:t xml:space="preserve">Journal of Arid Environments</w:t>
      </w:r>
      <w:r>
        <w:t xml:space="preserve"> </w:t>
      </w:r>
      <w:r>
        <w:t xml:space="preserve">34, 491–506.</w:t>
      </w:r>
    </w:p>
    <w:bookmarkEnd w:id="113"/>
    <w:bookmarkStart w:id="115" w:name="ref-deniro_epstein78"/>
    <w:p>
      <w:pPr>
        <w:pStyle w:val="Bibliography"/>
      </w:pPr>
      <w:r>
        <w:t xml:space="preserve">DeNiro, M. J., and Epstein, S. (1978). Influence of diet on the distribution of carbon isotopes in animals.</w:t>
      </w:r>
      <w:r>
        <w:t xml:space="preserve"> </w:t>
      </w:r>
      <w:r>
        <w:rPr>
          <w:i/>
          <w:iCs/>
        </w:rPr>
        <w:t xml:space="preserve">Geochimica et Cosmochimica Acta</w:t>
      </w:r>
      <w:r>
        <w:t xml:space="preserve"> </w:t>
      </w:r>
      <w:r>
        <w:t xml:space="preserve">42, 495–506. doi:</w:t>
      </w:r>
      <w:r>
        <w:t xml:space="preserve"> </w:t>
      </w:r>
      <w:hyperlink r:id="rId114">
        <w:r>
          <w:rPr>
            <w:rStyle w:val="Hyperlink"/>
          </w:rPr>
          <w:t xml:space="preserve">10.1016/0016-7037(78)90199-0</w:t>
        </w:r>
      </w:hyperlink>
    </w:p>
    <w:bookmarkEnd w:id="115"/>
    <w:bookmarkStart w:id="117" w:name="ref-deniro_epstein81"/>
    <w:p>
      <w:pPr>
        <w:pStyle w:val="Bibliography"/>
      </w:pPr>
      <w:r>
        <w:t xml:space="preserve">Deniro, M. J., and Epstein, S. (1981). Influence of diet on the distribution of nitrogen isotopes in animals.</w:t>
      </w:r>
      <w:r>
        <w:t xml:space="preserve"> </w:t>
      </w:r>
      <w:r>
        <w:rPr>
          <w:i/>
          <w:iCs/>
        </w:rPr>
        <w:t xml:space="preserve">Geochimica et Cosmochimica Acta</w:t>
      </w:r>
      <w:r>
        <w:t xml:space="preserve"> </w:t>
      </w:r>
      <w:r>
        <w:t xml:space="preserve">45, 341–351. doi:</w:t>
      </w:r>
      <w:r>
        <w:t xml:space="preserve"> </w:t>
      </w:r>
      <w:hyperlink r:id="rId116">
        <w:r>
          <w:rPr>
            <w:rStyle w:val="Hyperlink"/>
          </w:rPr>
          <w:t xml:space="preserve">10.1016/0016-7037(81)90244-1</w:t>
        </w:r>
      </w:hyperlink>
    </w:p>
    <w:bookmarkEnd w:id="117"/>
    <w:bookmarkStart w:id="118" w:name="ref-dietler09"/>
    <w:p>
      <w:pPr>
        <w:pStyle w:val="Bibliography"/>
      </w:pPr>
      <w:r>
        <w:t xml:space="preserve">Dietler, M. (2009).</w:t>
      </w:r>
      <w:r>
        <w:t xml:space="preserve"> </w:t>
      </w:r>
      <w:r>
        <w:rPr>
          <w:i/>
          <w:iCs/>
        </w:rPr>
        <w:t xml:space="preserve">Colonial encounters in</w:t>
      </w:r>
      <w:r>
        <w:rPr>
          <w:i/>
          <w:iCs/>
        </w:rPr>
        <w:t xml:space="preserve"> </w:t>
      </w:r>
      <w:r>
        <w:rPr>
          <w:i/>
          <w:iCs/>
        </w:rPr>
        <w:t xml:space="preserve">Iberia</w:t>
      </w:r>
      <w:r>
        <w:rPr>
          <w:i/>
          <w:iCs/>
        </w:rPr>
        <w:t xml:space="preserve"> </w:t>
      </w:r>
      <w:r>
        <w:rPr>
          <w:i/>
          <w:iCs/>
        </w:rPr>
        <w:t xml:space="preserve">and the</w:t>
      </w:r>
      <w:r>
        <w:rPr>
          <w:i/>
          <w:iCs/>
        </w:rPr>
        <w:t xml:space="preserve"> </w:t>
      </w:r>
      <w:r>
        <w:rPr>
          <w:i/>
          <w:iCs/>
        </w:rPr>
        <w:t xml:space="preserve">Western Mediterranean</w:t>
      </w:r>
      <w:r>
        <w:rPr>
          <w:i/>
          <w:iCs/>
        </w:rPr>
        <w:t xml:space="preserve">:</w:t>
      </w:r>
      <w:r>
        <w:rPr>
          <w:i/>
          <w:iCs/>
        </w:rPr>
        <w:t xml:space="preserve"> </w:t>
      </w:r>
      <w:r>
        <w:rPr>
          <w:i/>
          <w:iCs/>
        </w:rPr>
        <w:t xml:space="preserve">An</w:t>
      </w:r>
      <w:r>
        <w:rPr>
          <w:i/>
          <w:iCs/>
        </w:rPr>
        <w:t xml:space="preserve"> </w:t>
      </w:r>
      <w:r>
        <w:rPr>
          <w:i/>
          <w:iCs/>
        </w:rPr>
        <w:t xml:space="preserve">exploratory framework</w:t>
      </w:r>
      <w:r>
        <w:t xml:space="preserve">.</w:t>
      </w:r>
    </w:p>
    <w:bookmarkEnd w:id="118"/>
    <w:bookmarkStart w:id="120" w:name="ref-dixon06"/>
    <w:p>
      <w:pPr>
        <w:pStyle w:val="Bibliography"/>
      </w:pPr>
      <w:r>
        <w:t xml:space="preserve">Dixon, G. R. (2006).</w:t>
      </w:r>
      <w:r>
        <w:t xml:space="preserve"> </w:t>
      </w:r>
      <w:r>
        <w:t xml:space="preserve">“Origins and diversity of</w:t>
      </w:r>
      <w:r>
        <w:t xml:space="preserve"> </w:t>
      </w:r>
      <w:r>
        <w:t xml:space="preserve">Brassica</w:t>
      </w:r>
      <w:r>
        <w:t xml:space="preserve"> </w:t>
      </w:r>
      <w:r>
        <w:t xml:space="preserve">and its relatives.”</w:t>
      </w:r>
      <w:r>
        <w:t xml:space="preserve"> </w:t>
      </w:r>
      <w:r>
        <w:t xml:space="preserve">in</w:t>
      </w:r>
      <w:r>
        <w:t xml:space="preserve"> </w:t>
      </w:r>
      <w:r>
        <w:rPr>
          <w:i/>
          <w:iCs/>
        </w:rPr>
        <w:t xml:space="preserve">Vegetable brassicas and related crucifers</w:t>
      </w:r>
      <w:r>
        <w:t xml:space="preserve">, ed. G. R. Dixon (</w:t>
      </w:r>
      <w:r>
        <w:t xml:space="preserve">Wallingford</w:t>
      </w:r>
      <w:r>
        <w:t xml:space="preserve">:</w:t>
      </w:r>
      <w:r>
        <w:t xml:space="preserve"> </w:t>
      </w:r>
      <w:r>
        <w:t xml:space="preserve">CABI</w:t>
      </w:r>
      <w:r>
        <w:t xml:space="preserve">), 1–33. doi:</w:t>
      </w:r>
      <w:r>
        <w:t xml:space="preserve"> </w:t>
      </w:r>
      <w:hyperlink r:id="rId119">
        <w:r>
          <w:rPr>
            <w:rStyle w:val="Hyperlink"/>
          </w:rPr>
          <w:t xml:space="preserve">10.1079/9780851993959.0001</w:t>
        </w:r>
      </w:hyperlink>
    </w:p>
    <w:bookmarkEnd w:id="120"/>
    <w:bookmarkStart w:id="122" w:name="ref-eshel_etal19"/>
    <w:p>
      <w:pPr>
        <w:pStyle w:val="Bibliography"/>
      </w:pPr>
      <w:r>
        <w:t xml:space="preserve">Eshel, T., Erel, Y., Yahalom-Mack, N., Tirosh, O., and Gilboa, A. (2019). Lead isotopes in silver reveal earliest</w:t>
      </w:r>
      <w:r>
        <w:t xml:space="preserve"> </w:t>
      </w:r>
      <w:r>
        <w:t xml:space="preserve">Phoenician</w:t>
      </w:r>
      <w:r>
        <w:t xml:space="preserve"> </w:t>
      </w:r>
      <w:r>
        <w:t xml:space="preserve">quest for metals in the west</w:t>
      </w:r>
      <w:r>
        <w:t xml:space="preserve"> </w:t>
      </w:r>
      <w:r>
        <w:t xml:space="preserve">Mediterranean</w:t>
      </w:r>
      <w:r>
        <w:t xml:space="preserve">.</w:t>
      </w:r>
      <w:r>
        <w:t xml:space="preserve"> </w:t>
      </w:r>
      <w:r>
        <w:rPr>
          <w:i/>
          <w:iCs/>
        </w:rPr>
        <w:t xml:space="preserve">Proc Natl Acad Sci USA</w:t>
      </w:r>
      <w:r>
        <w:t xml:space="preserve"> </w:t>
      </w:r>
      <w:r>
        <w:t xml:space="preserve">116, 6007. doi:</w:t>
      </w:r>
      <w:r>
        <w:t xml:space="preserve"> </w:t>
      </w:r>
      <w:hyperlink r:id="rId121">
        <w:r>
          <w:rPr>
            <w:rStyle w:val="Hyperlink"/>
          </w:rPr>
          <w:t xml:space="preserve">10.1073/pnas.1817951116</w:t>
        </w:r>
      </w:hyperlink>
    </w:p>
    <w:bookmarkEnd w:id="122"/>
    <w:bookmarkStart w:id="124" w:name="ref-farquhar_etal89"/>
    <w:p>
      <w:pPr>
        <w:pStyle w:val="Bibliography"/>
      </w:pPr>
      <w:r>
        <w:t xml:space="preserve">Farquhar, G. D., Ehleringer, J. R., and Hubick, K. T. (1989). Carbon</w:t>
      </w:r>
      <w:r>
        <w:t xml:space="preserve"> </w:t>
      </w:r>
      <w:r>
        <w:t xml:space="preserve">Isotope Discrimination</w:t>
      </w:r>
      <w:r>
        <w:t xml:space="preserve"> </w:t>
      </w:r>
      <w:r>
        <w:t xml:space="preserve">and</w:t>
      </w:r>
      <w:r>
        <w:t xml:space="preserve"> </w:t>
      </w:r>
      <w:r>
        <w:t xml:space="preserve">Photosynthesis</w:t>
      </w:r>
      <w:r>
        <w:t xml:space="preserve">.</w:t>
      </w:r>
      <w:r>
        <w:t xml:space="preserve"> </w:t>
      </w:r>
      <w:r>
        <w:rPr>
          <w:i/>
          <w:iCs/>
        </w:rPr>
        <w:t xml:space="preserve">Annu. Rev. Plant. Physiol. Plant. Mol. Biol.</w:t>
      </w:r>
      <w:r>
        <w:t xml:space="preserve"> </w:t>
      </w:r>
      <w:r>
        <w:t xml:space="preserve">40, 503–537. doi:</w:t>
      </w:r>
      <w:r>
        <w:t xml:space="preserve"> </w:t>
      </w:r>
      <w:hyperlink r:id="rId123">
        <w:r>
          <w:rPr>
            <w:rStyle w:val="Hyperlink"/>
          </w:rPr>
          <w:t xml:space="preserve">10.1146/annurev.pp.40.060189.002443</w:t>
        </w:r>
      </w:hyperlink>
    </w:p>
    <w:bookmarkEnd w:id="124"/>
    <w:bookmarkStart w:id="126" w:name="ref-farquhar_etal82"/>
    <w:p>
      <w:pPr>
        <w:pStyle w:val="Bibliography"/>
      </w:pPr>
      <w:r>
        <w:t xml:space="preserve">Farquhar, G. D., O’Leary, M., and Berry, J. (1982). On the</w:t>
      </w:r>
      <w:r>
        <w:t xml:space="preserve"> </w:t>
      </w:r>
      <w:r>
        <w:t xml:space="preserve">Relationship Between Carbon Isotope Discrimination</w:t>
      </w:r>
      <w:r>
        <w:t xml:space="preserve"> </w:t>
      </w:r>
      <w:r>
        <w:t xml:space="preserve">and the</w:t>
      </w:r>
      <w:r>
        <w:t xml:space="preserve"> </w:t>
      </w:r>
      <w:r>
        <w:t xml:space="preserve">Intercellular Carbon Dioxide Concentration</w:t>
      </w:r>
      <w:r>
        <w:t xml:space="preserve"> </w:t>
      </w:r>
      <w:r>
        <w:t xml:space="preserve">in</w:t>
      </w:r>
      <w:r>
        <w:t xml:space="preserve"> </w:t>
      </w:r>
      <w:r>
        <w:t xml:space="preserve">Leaves</w:t>
      </w:r>
      <w:r>
        <w:t xml:space="preserve">.</w:t>
      </w:r>
      <w:r>
        <w:t xml:space="preserve"> </w:t>
      </w:r>
      <w:r>
        <w:rPr>
          <w:i/>
          <w:iCs/>
        </w:rPr>
        <w:t xml:space="preserve">Functional Plant Biol.</w:t>
      </w:r>
      <w:r>
        <w:t xml:space="preserve"> </w:t>
      </w:r>
      <w:r>
        <w:t xml:space="preserve">9, 121. doi:</w:t>
      </w:r>
      <w:r>
        <w:t xml:space="preserve"> </w:t>
      </w:r>
      <w:hyperlink r:id="rId125">
        <w:r>
          <w:rPr>
            <w:rStyle w:val="Hyperlink"/>
          </w:rPr>
          <w:t xml:space="preserve">10.1071/PP9820121</w:t>
        </w:r>
      </w:hyperlink>
    </w:p>
    <w:bookmarkEnd w:id="126"/>
    <w:bookmarkStart w:id="128" w:name="ref-fernandez-crespo_etal19"/>
    <w:p>
      <w:pPr>
        <w:pStyle w:val="Bibliography"/>
      </w:pPr>
      <w:r>
        <w:t xml:space="preserve">Fernández-Crespo, T., Ordoño, J., Bogaard, A., Llanos, A., and Schulting, R. (2019). A snapshot of subsistence in</w:t>
      </w:r>
      <w:r>
        <w:t xml:space="preserve"> </w:t>
      </w:r>
      <w:r>
        <w:t xml:space="preserve">Iron Age Iberia</w:t>
      </w:r>
      <w:r>
        <w:t xml:space="preserve">:</w:t>
      </w:r>
      <w:r>
        <w:t xml:space="preserve"> </w:t>
      </w:r>
      <w:r>
        <w:t xml:space="preserve">The</w:t>
      </w:r>
      <w:r>
        <w:t xml:space="preserve"> </w:t>
      </w:r>
      <w:r>
        <w:t xml:space="preserve">case of</w:t>
      </w:r>
      <w:r>
        <w:t xml:space="preserve"> </w:t>
      </w:r>
      <w:r>
        <w:t xml:space="preserve">La Hoya</w:t>
      </w:r>
      <w:r>
        <w:t xml:space="preserve"> </w:t>
      </w:r>
      <w:r>
        <w:t xml:space="preserve">village.</w:t>
      </w:r>
      <w:r>
        <w:t xml:space="preserve"> </w:t>
      </w:r>
      <w:r>
        <w:rPr>
          <w:i/>
          <w:iCs/>
        </w:rPr>
        <w:t xml:space="preserve">Journal of Archaeological Science: Reports</w:t>
      </w:r>
      <w:r>
        <w:t xml:space="preserve"> </w:t>
      </w:r>
      <w:r>
        <w:t xml:space="preserve">28, 102037. doi:</w:t>
      </w:r>
      <w:r>
        <w:t xml:space="preserve"> </w:t>
      </w:r>
      <w:hyperlink r:id="rId127">
        <w:r>
          <w:rPr>
            <w:rStyle w:val="Hyperlink"/>
          </w:rPr>
          <w:t xml:space="preserve">10.1016/j.jasrep.2019.102037</w:t>
        </w:r>
      </w:hyperlink>
    </w:p>
    <w:bookmarkEnd w:id="128"/>
    <w:bookmarkStart w:id="130" w:name="ref-ferrio_etal05"/>
    <w:p>
      <w:pPr>
        <w:pStyle w:val="Bibliography"/>
      </w:pPr>
      <w:r>
        <w:t xml:space="preserve">Ferrio, J., Araus, J. L., Buxó, R., Voltas, J., and Bort, J. (2005). Water management practices and climate in ancient agriculture: Inferences from the stable isotope composition of archaeobotanical remains.</w:t>
      </w:r>
      <w:r>
        <w:t xml:space="preserve"> </w:t>
      </w:r>
      <w:r>
        <w:rPr>
          <w:i/>
          <w:iCs/>
        </w:rPr>
        <w:t xml:space="preserve">Veget Hist Archaeobot</w:t>
      </w:r>
      <w:r>
        <w:t xml:space="preserve"> </w:t>
      </w:r>
      <w:r>
        <w:t xml:space="preserve">14, 510–517. doi:</w:t>
      </w:r>
      <w:r>
        <w:t xml:space="preserve"> </w:t>
      </w:r>
      <w:hyperlink r:id="rId129">
        <w:r>
          <w:rPr>
            <w:rStyle w:val="Hyperlink"/>
          </w:rPr>
          <w:t xml:space="preserve">10.1007/s00334-005-0062-2</w:t>
        </w:r>
      </w:hyperlink>
    </w:p>
    <w:bookmarkEnd w:id="130"/>
    <w:bookmarkStart w:id="132" w:name="ref-ferrio_etal07"/>
    <w:p>
      <w:pPr>
        <w:pStyle w:val="Bibliography"/>
      </w:pPr>
      <w:r>
        <w:t xml:space="preserve">Ferrio, J., Voltas, J., Alonso, N., and Araus, J. L. (2007).</w:t>
      </w:r>
      <w:r>
        <w:t xml:space="preserve"> </w:t>
      </w:r>
      <w:r>
        <w:t xml:space="preserve">“Reconstruction of</w:t>
      </w:r>
      <w:r>
        <w:t xml:space="preserve"> </w:t>
      </w:r>
      <w:r>
        <w:t xml:space="preserve">Climate</w:t>
      </w:r>
      <w:r>
        <w:t xml:space="preserve"> </w:t>
      </w:r>
      <w:r>
        <w:t xml:space="preserve">and</w:t>
      </w:r>
      <w:r>
        <w:t xml:space="preserve"> </w:t>
      </w:r>
      <w:r>
        <w:t xml:space="preserve">Crop Conditions</w:t>
      </w:r>
      <w:r>
        <w:t xml:space="preserve"> </w:t>
      </w:r>
      <w:r>
        <w:t xml:space="preserve">in the</w:t>
      </w:r>
      <w:r>
        <w:t xml:space="preserve"> </w:t>
      </w:r>
      <w:r>
        <w:t xml:space="preserve">Past Based</w:t>
      </w:r>
      <w:r>
        <w:t xml:space="preserve"> </w:t>
      </w:r>
      <w:r>
        <w:t xml:space="preserve">on the</w:t>
      </w:r>
      <w:r>
        <w:t xml:space="preserve"> </w:t>
      </w:r>
      <w:r>
        <w:t xml:space="preserve">Carbon Isotope Signature</w:t>
      </w:r>
      <w:r>
        <w:t xml:space="preserve"> </w:t>
      </w:r>
      <w:r>
        <w:t xml:space="preserve">of</w:t>
      </w:r>
      <w:r>
        <w:t xml:space="preserve"> </w:t>
      </w:r>
      <w:r>
        <w:t xml:space="preserve">Archaeobotanical Remains</w:t>
      </w:r>
      <w:r>
        <w:t xml:space="preserve">,”</w:t>
      </w:r>
      <w:r>
        <w:t xml:space="preserve"> </w:t>
      </w:r>
      <w:r>
        <w:t xml:space="preserve">in</w:t>
      </w:r>
      <w:r>
        <w:t xml:space="preserve"> </w:t>
      </w:r>
      <w:r>
        <w:rPr>
          <w:i/>
          <w:iCs/>
        </w:rPr>
        <w:t xml:space="preserve">Terrestrial</w:t>
      </w:r>
      <w:r>
        <w:rPr>
          <w:i/>
          <w:iCs/>
        </w:rPr>
        <w:t xml:space="preserve"> </w:t>
      </w:r>
      <w:r>
        <w:rPr>
          <w:i/>
          <w:iCs/>
        </w:rPr>
        <w:t xml:space="preserve">Ecology</w:t>
      </w:r>
      <w:r>
        <w:t xml:space="preserve">, (</w:t>
      </w:r>
      <w:r>
        <w:t xml:space="preserve">Elsevier</w:t>
      </w:r>
      <w:r>
        <w:t xml:space="preserve">), 319–332. doi:</w:t>
      </w:r>
      <w:r>
        <w:t xml:space="preserve"> </w:t>
      </w:r>
      <w:hyperlink r:id="rId131">
        <w:r>
          <w:rPr>
            <w:rStyle w:val="Hyperlink"/>
          </w:rPr>
          <w:t xml:space="preserve">10.1016/S1936-7961(07)01020-2</w:t>
        </w:r>
      </w:hyperlink>
    </w:p>
    <w:bookmarkEnd w:id="132"/>
    <w:bookmarkStart w:id="134" w:name="ref-fiorentino_etal15"/>
    <w:p>
      <w:pPr>
        <w:pStyle w:val="Bibliography"/>
      </w:pPr>
      <w:r>
        <w:t xml:space="preserve">Fiorentino, G., Ferrio, J. P., Bogaard, A., Araus, J. L., and Riehl, S. (2015). Stable isotopes in archaeobotanical research.</w:t>
      </w:r>
      <w:r>
        <w:t xml:space="preserve"> </w:t>
      </w:r>
      <w:r>
        <w:rPr>
          <w:i/>
          <w:iCs/>
        </w:rPr>
        <w:t xml:space="preserve">Veget Hist Archaeobot</w:t>
      </w:r>
      <w:r>
        <w:t xml:space="preserve"> </w:t>
      </w:r>
      <w:r>
        <w:t xml:space="preserve">24, 215–227. doi:</w:t>
      </w:r>
      <w:r>
        <w:t xml:space="preserve"> </w:t>
      </w:r>
      <w:hyperlink r:id="rId133">
        <w:r>
          <w:rPr>
            <w:rStyle w:val="Hyperlink"/>
          </w:rPr>
          <w:t xml:space="preserve">10.1007/s00334-014-0492-9</w:t>
        </w:r>
      </w:hyperlink>
    </w:p>
    <w:bookmarkEnd w:id="134"/>
    <w:bookmarkStart w:id="135" w:name="ref-fletcher2005"/>
    <w:p>
      <w:pPr>
        <w:pStyle w:val="Bibliography"/>
      </w:pPr>
      <w:r>
        <w:t xml:space="preserve">Fletcher, W. J. (2005). Holocene</w:t>
      </w:r>
      <w:r>
        <w:t xml:space="preserve"> </w:t>
      </w:r>
      <w:r>
        <w:t xml:space="preserve">Landscape History</w:t>
      </w:r>
      <w:r>
        <w:t xml:space="preserve"> </w:t>
      </w:r>
      <w:r>
        <w:t xml:space="preserve">of</w:t>
      </w:r>
      <w:r>
        <w:t xml:space="preserve"> </w:t>
      </w:r>
      <w:r>
        <w:t xml:space="preserve">Southern Portugal</w:t>
      </w:r>
      <w:r>
        <w:t xml:space="preserve">. University of Cambridge.</w:t>
      </w:r>
    </w:p>
    <w:bookmarkEnd w:id="135"/>
    <w:bookmarkStart w:id="137" w:name="ref-fletcher_etal07"/>
    <w:p>
      <w:pPr>
        <w:pStyle w:val="Bibliography"/>
      </w:pPr>
      <w:r>
        <w:t xml:space="preserve">Fletcher, W. J., Boski, T., and Moura, D. (2007). Palynological evidence for environmental and climatic change in the lower</w:t>
      </w:r>
      <w:r>
        <w:t xml:space="preserve"> </w:t>
      </w:r>
      <w:r>
        <w:t xml:space="preserve">Guadiana</w:t>
      </w:r>
      <w:r>
        <w:t xml:space="preserve"> </w:t>
      </w:r>
      <w:r>
        <w:t xml:space="preserve">valley,</w:t>
      </w:r>
      <w:r>
        <w:t xml:space="preserve"> </w:t>
      </w:r>
      <w:r>
        <w:t xml:space="preserve">Portugal</w:t>
      </w:r>
      <w:r>
        <w:t xml:space="preserve">, during the last 13 000 dates.</w:t>
      </w:r>
      <w:r>
        <w:t xml:space="preserve"> </w:t>
      </w:r>
      <w:r>
        <w:rPr>
          <w:i/>
          <w:iCs/>
        </w:rPr>
        <w:t xml:space="preserve">The Holocene</w:t>
      </w:r>
      <w:r>
        <w:t xml:space="preserve"> </w:t>
      </w:r>
      <w:r>
        <w:t xml:space="preserve">17, 481–494. doi:</w:t>
      </w:r>
      <w:r>
        <w:t xml:space="preserve"> </w:t>
      </w:r>
      <w:hyperlink r:id="rId136">
        <w:r>
          <w:rPr>
            <w:rStyle w:val="Hyperlink"/>
          </w:rPr>
          <w:t xml:space="preserve">10.1177/0959683607077027</w:t>
        </w:r>
      </w:hyperlink>
    </w:p>
    <w:bookmarkEnd w:id="137"/>
    <w:bookmarkStart w:id="139" w:name="ref-fraser_etal11"/>
    <w:p>
      <w:pPr>
        <w:pStyle w:val="Bibliography"/>
      </w:pPr>
      <w:r>
        <w:t xml:space="preserve">Fraser, R. A., Bogaard, A., Heaton, T., Charles, M., Jones, G., Christensen, B. T., et al. (2011). Manuring and stable nitrogen isotope ratios in cereals and pulses: Towards a new archaeobotanical approach to the inference of land use and dietary practices.</w:t>
      </w:r>
      <w:r>
        <w:t xml:space="preserve"> </w:t>
      </w:r>
      <w:r>
        <w:rPr>
          <w:i/>
          <w:iCs/>
        </w:rPr>
        <w:t xml:space="preserve">Journal of Archaeological Science</w:t>
      </w:r>
      <w:r>
        <w:t xml:space="preserve"> </w:t>
      </w:r>
      <w:r>
        <w:t xml:space="preserve">38, 2790–2804. doi:</w:t>
      </w:r>
      <w:r>
        <w:t xml:space="preserve"> </w:t>
      </w:r>
      <w:hyperlink r:id="rId138">
        <w:r>
          <w:rPr>
            <w:rStyle w:val="Hyperlink"/>
          </w:rPr>
          <w:t xml:space="preserve">10.1016/j.jas.2011.06.024</w:t>
        </w:r>
      </w:hyperlink>
    </w:p>
    <w:bookmarkEnd w:id="139"/>
    <w:bookmarkStart w:id="141" w:name="ref-fraser_etal13a"/>
    <w:p>
      <w:pPr>
        <w:pStyle w:val="Bibliography"/>
      </w:pPr>
      <w:r>
        <w:t xml:space="preserve">Fraser, R., Bogaard, A., Charles, M., Styring, A., Wallace, M., Jones, G., et al. (2013). Assessing natural variation and the effects of charring, burial and pre-treatment on the stable carbon and nitrogen isotope values of archaeobotanical cereals and pulses.</w:t>
      </w:r>
      <w:r>
        <w:t xml:space="preserve"> </w:t>
      </w:r>
      <w:r>
        <w:rPr>
          <w:i/>
          <w:iCs/>
        </w:rPr>
        <w:t xml:space="preserve">Journal of Archaeological Science</w:t>
      </w:r>
      <w:r>
        <w:t xml:space="preserve"> </w:t>
      </w:r>
      <w:r>
        <w:t xml:space="preserve">40, 4754–4766. doi:</w:t>
      </w:r>
      <w:r>
        <w:t xml:space="preserve"> </w:t>
      </w:r>
      <w:hyperlink r:id="rId140">
        <w:r>
          <w:rPr>
            <w:rStyle w:val="Hyperlink"/>
          </w:rPr>
          <w:t xml:space="preserve">10.1016/j.jas.2013.01.032</w:t>
        </w:r>
      </w:hyperlink>
    </w:p>
    <w:bookmarkEnd w:id="141"/>
    <w:bookmarkStart w:id="143" w:name="ref-froehle_etal10"/>
    <w:p>
      <w:pPr>
        <w:pStyle w:val="Bibliography"/>
      </w:pPr>
      <w:r>
        <w:t xml:space="preserve">Froehle, A. W., Kellner, C. M., and Schoeninger, M. J. (2010).</w:t>
      </w:r>
      <w:r>
        <w:t xml:space="preserve"> </w:t>
      </w:r>
      <w:r>
        <w:t xml:space="preserve">FOCUS</w:t>
      </w:r>
      <w:r>
        <w:t xml:space="preserve">: Effect of diet and protein source on carbon stable isotope ratios in collagen: Follow up to</w:t>
      </w:r>
      <w:r>
        <w:t xml:space="preserve"> </w:t>
      </w:r>
      <w:r>
        <w:t xml:space="preserve">Warinner</w:t>
      </w:r>
      <w:r>
        <w:t xml:space="preserve"> </w:t>
      </w:r>
      <w:r>
        <w:t xml:space="preserve">and</w:t>
      </w:r>
      <w:r>
        <w:t xml:space="preserve"> </w:t>
      </w:r>
      <w:r>
        <w:t xml:space="preserve">Tuross</w:t>
      </w:r>
      <w:r>
        <w:t xml:space="preserve"> </w:t>
      </w:r>
      <w:r>
        <w:t xml:space="preserve">(2009).</w:t>
      </w:r>
      <w:r>
        <w:t xml:space="preserve"> </w:t>
      </w:r>
      <w:r>
        <w:rPr>
          <w:i/>
          <w:iCs/>
        </w:rPr>
        <w:t xml:space="preserve">Journal of Archaeological Science</w:t>
      </w:r>
      <w:r>
        <w:t xml:space="preserve"> </w:t>
      </w:r>
      <w:r>
        <w:t xml:space="preserve">37, 2662–2670. doi:</w:t>
      </w:r>
      <w:r>
        <w:t xml:space="preserve"> </w:t>
      </w:r>
      <w:hyperlink r:id="rId142">
        <w:r>
          <w:rPr>
            <w:rStyle w:val="Hyperlink"/>
          </w:rPr>
          <w:t xml:space="preserve">10.1016/j.jas.2010.06.003</w:t>
        </w:r>
      </w:hyperlink>
    </w:p>
    <w:bookmarkEnd w:id="143"/>
    <w:bookmarkStart w:id="144" w:name="ref-gale_carruthers00"/>
    <w:p>
      <w:pPr>
        <w:pStyle w:val="Bibliography"/>
      </w:pPr>
      <w:r>
        <w:t xml:space="preserve">Gale, R., and Carruthers, W. (2000). Charcoal and charred seed remains from</w:t>
      </w:r>
      <w:r>
        <w:t xml:space="preserve"> </w:t>
      </w:r>
      <w:r>
        <w:t xml:space="preserve">Middle Palaeolithic</w:t>
      </w:r>
      <w:r>
        <w:t xml:space="preserve"> </w:t>
      </w:r>
      <w:r>
        <w:t xml:space="preserve">levels at</w:t>
      </w:r>
      <w:r>
        <w:t xml:space="preserve"> </w:t>
      </w:r>
      <w:r>
        <w:t xml:space="preserve">Gorham</w:t>
      </w:r>
      <w:r>
        <w:t xml:space="preserve">’s and</w:t>
      </w:r>
      <w:r>
        <w:t xml:space="preserve"> </w:t>
      </w:r>
      <w:r>
        <w:t xml:space="preserve">Vanguard Caves</w:t>
      </w:r>
      <w:r>
        <w:t xml:space="preserve">.</w:t>
      </w:r>
      <w:r>
        <w:t xml:space="preserve"> </w:t>
      </w:r>
      <w:r>
        <w:rPr>
          <w:i/>
          <w:iCs/>
        </w:rPr>
        <w:t xml:space="preserve">Neanderthals on the Edge. Oxford: Oxbow Books</w:t>
      </w:r>
      <w:r>
        <w:t xml:space="preserve">, 207–210.</w:t>
      </w:r>
    </w:p>
    <w:bookmarkEnd w:id="144"/>
    <w:bookmarkStart w:id="146" w:name="ref-gebertverheyden2001"/>
    <w:p>
      <w:pPr>
        <w:pStyle w:val="Bibliography"/>
      </w:pPr>
      <w:r>
        <w:t xml:space="preserve">Gebert, C., and Verheyden-Tixier, H. (2001). Variations of diet composition of</w:t>
      </w:r>
      <w:r>
        <w:t xml:space="preserve"> </w:t>
      </w:r>
      <w:r>
        <w:t xml:space="preserve">Red Deer</w:t>
      </w:r>
      <w:r>
        <w:t xml:space="preserve"> </w:t>
      </w:r>
      <w:r>
        <w:t xml:space="preserve">(</w:t>
      </w:r>
      <w:r>
        <w:t xml:space="preserve">Cervus</w:t>
      </w:r>
      <w:r>
        <w:t xml:space="preserve"> </w:t>
      </w:r>
      <w:r>
        <w:t xml:space="preserve">elaphus</w:t>
      </w:r>
      <w:r>
        <w:t xml:space="preserve"> </w:t>
      </w:r>
      <w:r>
        <w:t xml:space="preserve">L</w:t>
      </w:r>
      <w:r>
        <w:t xml:space="preserve">.) in</w:t>
      </w:r>
      <w:r>
        <w:t xml:space="preserve"> </w:t>
      </w:r>
      <w:r>
        <w:t xml:space="preserve">Europe</w:t>
      </w:r>
      <w:r>
        <w:t xml:space="preserve">.</w:t>
      </w:r>
      <w:r>
        <w:t xml:space="preserve"> </w:t>
      </w:r>
      <w:r>
        <w:rPr>
          <w:i/>
          <w:iCs/>
        </w:rPr>
        <w:t xml:space="preserve">Mammal Review</w:t>
      </w:r>
      <w:r>
        <w:t xml:space="preserve"> </w:t>
      </w:r>
      <w:r>
        <w:t xml:space="preserve">31, 189–201. doi:</w:t>
      </w:r>
      <w:r>
        <w:t xml:space="preserve"> </w:t>
      </w:r>
      <w:hyperlink r:id="rId145">
        <w:r>
          <w:rPr>
            <w:rStyle w:val="Hyperlink"/>
          </w:rPr>
          <w:t xml:space="preserve">10.1111/j.1365-2907.2001.00090.x</w:t>
        </w:r>
      </w:hyperlink>
    </w:p>
    <w:bookmarkEnd w:id="146"/>
    <w:bookmarkStart w:id="148" w:name="ref-gomes_arruda18"/>
    <w:p>
      <w:pPr>
        <w:pStyle w:val="Bibliography"/>
      </w:pPr>
      <w:r>
        <w:t xml:space="preserve">Gomes, F. B., and Arruda, A. M. (2018). On the edge of history?</w:t>
      </w:r>
      <w:r>
        <w:t xml:space="preserve"> </w:t>
      </w:r>
      <w:r>
        <w:t xml:space="preserve">The Early Iron Age</w:t>
      </w:r>
      <w:r>
        <w:t xml:space="preserve"> </w:t>
      </w:r>
      <w:r>
        <w:t xml:space="preserve">of southern</w:t>
      </w:r>
      <w:r>
        <w:t xml:space="preserve"> </w:t>
      </w:r>
      <w:r>
        <w:t xml:space="preserve">Portugal</w:t>
      </w:r>
      <w:r>
        <w:t xml:space="preserve">, between texts and archaeology.</w:t>
      </w:r>
      <w:r>
        <w:t xml:space="preserve"> </w:t>
      </w:r>
      <w:r>
        <w:rPr>
          <w:i/>
          <w:iCs/>
        </w:rPr>
        <w:t xml:space="preserve">World Archaeology</w:t>
      </w:r>
      <w:r>
        <w:t xml:space="preserve"> </w:t>
      </w:r>
      <w:r>
        <w:t xml:space="preserve">50, 764–780. doi:</w:t>
      </w:r>
      <w:r>
        <w:t xml:space="preserve"> </w:t>
      </w:r>
      <w:hyperlink r:id="rId147">
        <w:r>
          <w:rPr>
            <w:rStyle w:val="Hyperlink"/>
          </w:rPr>
          <w:t xml:space="preserve">10.1080/00438243.2019.1604258</w:t>
        </w:r>
      </w:hyperlink>
    </w:p>
    <w:bookmarkEnd w:id="148"/>
    <w:bookmarkStart w:id="149" w:name="ref-gomezbellard19"/>
    <w:p>
      <w:pPr>
        <w:pStyle w:val="Bibliography"/>
      </w:pPr>
      <w:r>
        <w:t xml:space="preserve">Gómez Bellard, C. (2019).</w:t>
      </w:r>
      <w:r>
        <w:t xml:space="preserve"> </w:t>
      </w:r>
      <w:r>
        <w:t xml:space="preserve">“Agriculture,”</w:t>
      </w:r>
      <w:r>
        <w:t xml:space="preserve"> </w:t>
      </w:r>
      <w:r>
        <w:t xml:space="preserve">in</w:t>
      </w:r>
      <w:r>
        <w:t xml:space="preserve"> </w:t>
      </w:r>
      <w:r>
        <w:rPr>
          <w:i/>
          <w:iCs/>
        </w:rPr>
        <w:t xml:space="preserve">The</w:t>
      </w:r>
      <w:r>
        <w:rPr>
          <w:i/>
          <w:iCs/>
        </w:rPr>
        <w:t xml:space="preserve"> </w:t>
      </w:r>
      <w:r>
        <w:rPr>
          <w:i/>
          <w:iCs/>
        </w:rPr>
        <w:t xml:space="preserve">Oxford Handbook</w:t>
      </w:r>
      <w:r>
        <w:rPr>
          <w:i/>
          <w:iCs/>
        </w:rPr>
        <w:t xml:space="preserve"> </w:t>
      </w:r>
      <w:r>
        <w:rPr>
          <w:i/>
          <w:iCs/>
        </w:rPr>
        <w:t xml:space="preserve">of</w:t>
      </w:r>
      <w:r>
        <w:rPr>
          <w:i/>
          <w:iCs/>
        </w:rPr>
        <w:t xml:space="preserve"> </w:t>
      </w:r>
      <w:r>
        <w:rPr>
          <w:i/>
          <w:iCs/>
        </w:rPr>
        <w:t xml:space="preserve">The Phoenician</w:t>
      </w:r>
      <w:r>
        <w:rPr>
          <w:i/>
          <w:iCs/>
        </w:rPr>
        <w:t xml:space="preserve"> </w:t>
      </w:r>
      <w:r>
        <w:rPr>
          <w:i/>
          <w:iCs/>
        </w:rPr>
        <w:t xml:space="preserve">and</w:t>
      </w:r>
      <w:r>
        <w:rPr>
          <w:i/>
          <w:iCs/>
        </w:rPr>
        <w:t xml:space="preserve"> </w:t>
      </w:r>
      <w:r>
        <w:rPr>
          <w:i/>
          <w:iCs/>
        </w:rPr>
        <w:t xml:space="preserve">Punic Mediterranean</w:t>
      </w:r>
      <w:r>
        <w:t xml:space="preserve">, (</w:t>
      </w:r>
      <w:r>
        <w:t xml:space="preserve">Oxford University Press</w:t>
      </w:r>
      <w:r>
        <w:t xml:space="preserve">), 732–745.</w:t>
      </w:r>
    </w:p>
    <w:bookmarkEnd w:id="149"/>
    <w:bookmarkStart w:id="151" w:name="ref-gramazio_etal17"/>
    <w:p>
      <w:pPr>
        <w:pStyle w:val="Bibliography"/>
      </w:pPr>
      <w:r>
        <w:t xml:space="preserve">Gramazio, C. C., Laidlaw, D. H., and Schloss, K. B. (2017). Colorgorical:</w:t>
      </w:r>
      <w:r>
        <w:t xml:space="preserve"> </w:t>
      </w:r>
      <w:r>
        <w:t xml:space="preserve">Creating</w:t>
      </w:r>
      <w:r>
        <w:t xml:space="preserve"> </w:t>
      </w:r>
      <w:r>
        <w:t xml:space="preserve">discriminable and preferable color palettes for information visualization.</w:t>
      </w:r>
      <w:r>
        <w:t xml:space="preserve"> </w:t>
      </w:r>
      <w:r>
        <w:rPr>
          <w:i/>
          <w:iCs/>
        </w:rPr>
        <w:t xml:space="preserve">IEEE Trans. Visual. Comput. Graphics</w:t>
      </w:r>
      <w:r>
        <w:t xml:space="preserve"> </w:t>
      </w:r>
      <w:r>
        <w:t xml:space="preserve">23, 521–530. doi:</w:t>
      </w:r>
      <w:r>
        <w:t xml:space="preserve"> </w:t>
      </w:r>
      <w:hyperlink r:id="rId150">
        <w:r>
          <w:rPr>
            <w:rStyle w:val="Hyperlink"/>
          </w:rPr>
          <w:t xml:space="preserve">10.1109/TVCG.2016.2598918</w:t>
        </w:r>
      </w:hyperlink>
    </w:p>
    <w:bookmarkEnd w:id="151"/>
    <w:bookmarkStart w:id="153" w:name="ref-green84"/>
    <w:p>
      <w:pPr>
        <w:pStyle w:val="Bibliography"/>
      </w:pPr>
      <w:r>
        <w:t xml:space="preserve">Green, R. E. (1984). The</w:t>
      </w:r>
      <w:r>
        <w:t xml:space="preserve"> </w:t>
      </w:r>
      <w:r>
        <w:t xml:space="preserve">Feeding Ecology</w:t>
      </w:r>
      <w:r>
        <w:t xml:space="preserve"> </w:t>
      </w:r>
      <w:r>
        <w:t xml:space="preserve">and</w:t>
      </w:r>
      <w:r>
        <w:t xml:space="preserve"> </w:t>
      </w:r>
      <w:r>
        <w:t xml:space="preserve">Survival</w:t>
      </w:r>
      <w:r>
        <w:t xml:space="preserve"> </w:t>
      </w:r>
      <w:r>
        <w:t xml:space="preserve">of</w:t>
      </w:r>
      <w:r>
        <w:t xml:space="preserve"> </w:t>
      </w:r>
      <w:r>
        <w:t xml:space="preserve">Partridge Chicks</w:t>
      </w:r>
      <w:r>
        <w:t xml:space="preserve"> </w:t>
      </w:r>
      <w:r>
        <w:t xml:space="preserve">(</w:t>
      </w:r>
      <w:r>
        <w:t xml:space="preserve">Alectoris</w:t>
      </w:r>
      <w:r>
        <w:t xml:space="preserve"> </w:t>
      </w:r>
      <w:r>
        <w:t xml:space="preserve">rufa and</w:t>
      </w:r>
      <w:r>
        <w:t xml:space="preserve"> </w:t>
      </w:r>
      <w:r>
        <w:t xml:space="preserve">Perdix</w:t>
      </w:r>
      <w:r>
        <w:t xml:space="preserve"> </w:t>
      </w:r>
      <w:r>
        <w:t xml:space="preserve">perdix) on</w:t>
      </w:r>
      <w:r>
        <w:t xml:space="preserve"> </w:t>
      </w:r>
      <w:r>
        <w:t xml:space="preserve">Arable Farmland</w:t>
      </w:r>
      <w:r>
        <w:t xml:space="preserve"> </w:t>
      </w:r>
      <w:r>
        <w:t xml:space="preserve">in</w:t>
      </w:r>
      <w:r>
        <w:t xml:space="preserve"> </w:t>
      </w:r>
      <w:r>
        <w:t xml:space="preserve">East Anglia</w:t>
      </w:r>
      <w:r>
        <w:t xml:space="preserve">.</w:t>
      </w:r>
      <w:r>
        <w:t xml:space="preserve"> </w:t>
      </w:r>
      <w:r>
        <w:rPr>
          <w:i/>
          <w:iCs/>
        </w:rPr>
        <w:t xml:space="preserve">Journal of Applied Ecology</w:t>
      </w:r>
      <w:r>
        <w:t xml:space="preserve"> </w:t>
      </w:r>
      <w:r>
        <w:t xml:space="preserve">21, 817–830. doi:</w:t>
      </w:r>
      <w:r>
        <w:t xml:space="preserve"> </w:t>
      </w:r>
      <w:hyperlink r:id="rId152">
        <w:r>
          <w:rPr>
            <w:rStyle w:val="Hyperlink"/>
          </w:rPr>
          <w:t xml:space="preserve">10.2307/2405049</w:t>
        </w:r>
      </w:hyperlink>
    </w:p>
    <w:bookmarkEnd w:id="153"/>
    <w:bookmarkStart w:id="155" w:name="ref-guiry_szpak21"/>
    <w:p>
      <w:pPr>
        <w:pStyle w:val="Bibliography"/>
      </w:pPr>
      <w:r>
        <w:t xml:space="preserve">Guiry, E. J., and Szpak, P. (2021). Improved quality control criteria for stable carbon and nitrogen isotope measurements of ancient bone collagen.</w:t>
      </w:r>
      <w:r>
        <w:t xml:space="preserve"> </w:t>
      </w:r>
      <w:r>
        <w:rPr>
          <w:i/>
          <w:iCs/>
        </w:rPr>
        <w:t xml:space="preserve">Journal of Archaeological Science</w:t>
      </w:r>
      <w:r>
        <w:t xml:space="preserve"> </w:t>
      </w:r>
      <w:r>
        <w:t xml:space="preserve">132, 105416. doi:</w:t>
      </w:r>
      <w:r>
        <w:t xml:space="preserve"> </w:t>
      </w:r>
      <w:hyperlink r:id="rId154">
        <w:r>
          <w:rPr>
            <w:rStyle w:val="Hyperlink"/>
          </w:rPr>
          <w:t xml:space="preserve">10.1016/j.jas.2021.105416</w:t>
        </w:r>
      </w:hyperlink>
    </w:p>
    <w:bookmarkEnd w:id="155"/>
    <w:bookmarkStart w:id="157" w:name="ref-guiry_etal21a"/>
    <w:p>
      <w:pPr>
        <w:pStyle w:val="Bibliography"/>
      </w:pPr>
      <w:r>
        <w:t xml:space="preserve">Guiry, E., Noël, S., and Fowler, J. (2021). Archaeological herbivore</w:t>
      </w:r>
      <w:r>
        <w:t xml:space="preserve"> </w:t>
      </w:r>
      <m:oMath>
        <m:sSup>
          <m:e>
            <m:r>
              <m:t>δ</m:t>
            </m:r>
          </m:e>
          <m:sup>
            <m:r>
              <m:t>13</m:t>
            </m:r>
          </m:sup>
        </m:sSup>
        <m:r>
          <m:t>C</m:t>
        </m:r>
      </m:oMath>
      <w:r>
        <w:t xml:space="preserve"> </w:t>
      </w:r>
      <w:r>
        <w:t xml:space="preserve">and</w:t>
      </w:r>
      <w:r>
        <w:t xml:space="preserve"> </w:t>
      </w:r>
      <m:oMath>
        <m:sSup>
          <m:e>
            <m:r>
              <m:t>δ</m:t>
            </m:r>
          </m:e>
          <m:sup>
            <m:r>
              <m:t>34</m:t>
            </m:r>
          </m:sup>
        </m:sSup>
        <m:r>
          <m:t>S</m:t>
        </m:r>
      </m:oMath>
      <w:r>
        <w:t xml:space="preserve"> </w:t>
      </w:r>
      <w:r>
        <w:t xml:space="preserve">provide a marker for saltmarsh use and new insights into the process of</w:t>
      </w:r>
      <w:r>
        <w:t xml:space="preserve"> </w:t>
      </w:r>
      <w:r>
        <w:t xml:space="preserve">15N-enrichment</w:t>
      </w:r>
      <w:r>
        <w:t xml:space="preserve"> </w:t>
      </w:r>
      <w:r>
        <w:t xml:space="preserve">in coastal plants.</w:t>
      </w:r>
      <w:r>
        <w:t xml:space="preserve"> </w:t>
      </w:r>
      <w:r>
        <w:rPr>
          <w:i/>
          <w:iCs/>
        </w:rPr>
        <w:t xml:space="preserve">Journal of Archaeological Science</w:t>
      </w:r>
      <w:r>
        <w:t xml:space="preserve"> </w:t>
      </w:r>
      <w:r>
        <w:t xml:space="preserve">125, 105295. doi:</w:t>
      </w:r>
      <w:r>
        <w:t xml:space="preserve"> </w:t>
      </w:r>
      <w:hyperlink r:id="rId156">
        <w:r>
          <w:rPr>
            <w:rStyle w:val="Hyperlink"/>
          </w:rPr>
          <w:t xml:space="preserve">10.1016/j.jas.2020.105295</w:t>
        </w:r>
      </w:hyperlink>
    </w:p>
    <w:bookmarkEnd w:id="157"/>
    <w:bookmarkStart w:id="159" w:name="ref-hamilton_etal19"/>
    <w:p>
      <w:pPr>
        <w:pStyle w:val="Bibliography"/>
      </w:pPr>
      <w:r>
        <w:t xml:space="preserve">Hamilton, W. D., Sayle, K. L., Boyd, M. O. E., Haselgrove, C. C., and Cook, G. T. (2019).</w:t>
      </w:r>
      <w:r>
        <w:t xml:space="preserve"> </w:t>
      </w:r>
      <w:r>
        <w:t xml:space="preserve">“</w:t>
      </w:r>
      <w:r>
        <w:t xml:space="preserve">Celtic</w:t>
      </w:r>
      <w:r>
        <w:t xml:space="preserve"> </w:t>
      </w:r>
      <w:r>
        <w:t xml:space="preserve">cowboys”</w:t>
      </w:r>
      <w:r>
        <w:t xml:space="preserve"> </w:t>
      </w:r>
      <w:r>
        <w:t xml:space="preserve">reborn:</w:t>
      </w:r>
      <w:r>
        <w:t xml:space="preserve"> </w:t>
      </w:r>
      <w:r>
        <w:t xml:space="preserve">Application</w:t>
      </w:r>
      <w:r>
        <w:t xml:space="preserve"> </w:t>
      </w:r>
      <w:r>
        <w:t xml:space="preserve">of multi-isotopic analysis (</w:t>
      </w:r>
      <m:oMath>
        <m:sSup>
          <m:e>
            <m:r>
              <m:t>δ</m:t>
            </m:r>
          </m:e>
          <m:sup>
            <m:r>
              <m:t>13</m:t>
            </m:r>
          </m:sup>
        </m:sSup>
        <m:r>
          <m:t>C</m:t>
        </m:r>
      </m:oMath>
      <w:r>
        <w:t xml:space="preserve">,</w:t>
      </w:r>
      <w:r>
        <w:t xml:space="preserve"> </w:t>
      </w:r>
      <m:oMath>
        <m:sSup>
          <m:e>
            <m:r>
              <m:t>δ</m:t>
            </m:r>
          </m:e>
          <m:sup>
            <m:r>
              <m:t>15</m:t>
            </m:r>
          </m:sup>
        </m:sSup>
        <m:r>
          <m:t>N</m:t>
        </m:r>
      </m:oMath>
      <w:r>
        <w:t xml:space="preserve">, and</w:t>
      </w:r>
      <w:r>
        <w:t xml:space="preserve"> </w:t>
      </w:r>
      <m:oMath>
        <m:sSup>
          <m:e>
            <m:r>
              <m:t>δ</m:t>
            </m:r>
          </m:e>
          <m:sup>
            <m:r>
              <m:t>34</m:t>
            </m:r>
          </m:sup>
        </m:sSup>
        <m:r>
          <m:t>S</m:t>
        </m:r>
      </m:oMath>
      <w:r>
        <w:t xml:space="preserve">) to examine mobility and movement of animals within an</w:t>
      </w:r>
      <w:r>
        <w:t xml:space="preserve"> </w:t>
      </w:r>
      <w:r>
        <w:t xml:space="preserve">Iron Age British</w:t>
      </w:r>
      <w:r>
        <w:t xml:space="preserve"> </w:t>
      </w:r>
      <w:r>
        <w:t xml:space="preserve">society.</w:t>
      </w:r>
      <w:r>
        <w:t xml:space="preserve"> </w:t>
      </w:r>
      <w:r>
        <w:rPr>
          <w:i/>
          <w:iCs/>
        </w:rPr>
        <w:t xml:space="preserve">Journal of Archaeological Science</w:t>
      </w:r>
      <w:r>
        <w:t xml:space="preserve"> </w:t>
      </w:r>
      <w:r>
        <w:t xml:space="preserve">101, 189–198. doi:</w:t>
      </w:r>
      <w:r>
        <w:t xml:space="preserve"> </w:t>
      </w:r>
      <w:hyperlink r:id="rId158">
        <w:r>
          <w:rPr>
            <w:rStyle w:val="Hyperlink"/>
          </w:rPr>
          <w:t xml:space="preserve">10.1016/j.jas.2018.04.006</w:t>
        </w:r>
      </w:hyperlink>
    </w:p>
    <w:bookmarkEnd w:id="159"/>
    <w:bookmarkStart w:id="160" w:name="ref-haws04"/>
    <w:p>
      <w:pPr>
        <w:pStyle w:val="Bibliography"/>
      </w:pPr>
      <w:r>
        <w:t xml:space="preserve">Haws, J. (2004). An</w:t>
      </w:r>
      <w:r>
        <w:t xml:space="preserve"> </w:t>
      </w:r>
      <w:r>
        <w:t xml:space="preserve">Iberian</w:t>
      </w:r>
      <w:r>
        <w:t xml:space="preserve"> </w:t>
      </w:r>
      <w:r>
        <w:t xml:space="preserve">perspective on</w:t>
      </w:r>
      <w:r>
        <w:t xml:space="preserve"> </w:t>
      </w:r>
      <w:r>
        <w:t xml:space="preserve">Upper Paleolithic</w:t>
      </w:r>
      <w:r>
        <w:t xml:space="preserve"> </w:t>
      </w:r>
      <w:r>
        <w:t xml:space="preserve">plant consumption.</w:t>
      </w:r>
      <w:r>
        <w:t xml:space="preserve"> </w:t>
      </w:r>
      <w:r>
        <w:rPr>
          <w:i/>
          <w:iCs/>
        </w:rPr>
        <w:t xml:space="preserve">Promontoria</w:t>
      </w:r>
      <w:r>
        <w:t xml:space="preserve"> </w:t>
      </w:r>
      <w:r>
        <w:t xml:space="preserve">2, 49–106.</w:t>
      </w:r>
    </w:p>
    <w:bookmarkEnd w:id="160"/>
    <w:bookmarkStart w:id="162" w:name="ref-hedges_reynard07"/>
    <w:p>
      <w:pPr>
        <w:pStyle w:val="Bibliography"/>
      </w:pPr>
      <w:r>
        <w:t xml:space="preserve">Hedges, R. E. M., and Reynard, L. M. (2007). Nitrogen isotopes and the trophic level of humans in archaeology.</w:t>
      </w:r>
      <w:r>
        <w:t xml:space="preserve"> </w:t>
      </w:r>
      <w:r>
        <w:rPr>
          <w:i/>
          <w:iCs/>
        </w:rPr>
        <w:t xml:space="preserve">Journal of Archaeological Science</w:t>
      </w:r>
      <w:r>
        <w:t xml:space="preserve"> </w:t>
      </w:r>
      <w:r>
        <w:t xml:space="preserve">34, 1240–1251. doi:</w:t>
      </w:r>
      <w:r>
        <w:t xml:space="preserve"> </w:t>
      </w:r>
      <w:hyperlink r:id="rId161">
        <w:r>
          <w:rPr>
            <w:rStyle w:val="Hyperlink"/>
          </w:rPr>
          <w:t xml:space="preserve">10.1016/j.jas.2006.10.015</w:t>
        </w:r>
      </w:hyperlink>
    </w:p>
    <w:bookmarkEnd w:id="162"/>
    <w:bookmarkStart w:id="164" w:name="ref-hobson99"/>
    <w:p>
      <w:pPr>
        <w:pStyle w:val="Bibliography"/>
      </w:pPr>
      <w:r>
        <w:t xml:space="preserve">Hobson, K. A. (1999). Tracing origins and migration of wildlife using stable isotopes: A review.</w:t>
      </w:r>
      <w:r>
        <w:t xml:space="preserve"> </w:t>
      </w:r>
      <w:r>
        <w:rPr>
          <w:i/>
          <w:iCs/>
        </w:rPr>
        <w:t xml:space="preserve">Oecologia</w:t>
      </w:r>
      <w:r>
        <w:t xml:space="preserve"> </w:t>
      </w:r>
      <w:r>
        <w:t xml:space="preserve">120, 314–326. doi:</w:t>
      </w:r>
      <w:r>
        <w:t xml:space="preserve"> </w:t>
      </w:r>
      <w:hyperlink r:id="rId163">
        <w:r>
          <w:rPr>
            <w:rStyle w:val="Hyperlink"/>
          </w:rPr>
          <w:t xml:space="preserve">10.1007/s004420050865</w:t>
        </w:r>
      </w:hyperlink>
    </w:p>
    <w:bookmarkEnd w:id="164"/>
    <w:bookmarkStart w:id="165" w:name="ref-jalut_etal00"/>
    <w:p>
      <w:pPr>
        <w:pStyle w:val="Bibliography"/>
      </w:pPr>
      <w:r>
        <w:t xml:space="preserve">Jalut, G., Amat, A. E., Bonnet, L., Gauquelin, T., and Fontugne, M. (2000). Holocene climatic changes in the</w:t>
      </w:r>
      <w:r>
        <w:t xml:space="preserve"> </w:t>
      </w:r>
      <w:r>
        <w:t xml:space="preserve">Western Mediterranean</w:t>
      </w:r>
      <w:r>
        <w:t xml:space="preserve">, from south-east</w:t>
      </w:r>
      <w:r>
        <w:t xml:space="preserve"> </w:t>
      </w:r>
      <w:r>
        <w:t xml:space="preserve">France</w:t>
      </w:r>
      <w:r>
        <w:t xml:space="preserve"> </w:t>
      </w:r>
      <w:r>
        <w:t xml:space="preserve">to south-east</w:t>
      </w:r>
      <w:r>
        <w:t xml:space="preserve"> </w:t>
      </w:r>
      <w:r>
        <w:t xml:space="preserve">Spain</w:t>
      </w:r>
      <w:r>
        <w:t xml:space="preserve">.</w:t>
      </w:r>
      <w:r>
        <w:t xml:space="preserve"> </w:t>
      </w:r>
      <w:r>
        <w:rPr>
          <w:i/>
          <w:iCs/>
        </w:rPr>
        <w:t xml:space="preserve">Palaeogeography, Palaeoclimatology, Palaeoecology</w:t>
      </w:r>
      <w:r>
        <w:t xml:space="preserve"> </w:t>
      </w:r>
      <w:r>
        <w:t xml:space="preserve">160, 255–290.</w:t>
      </w:r>
    </w:p>
    <w:bookmarkEnd w:id="165"/>
    <w:bookmarkStart w:id="167" w:name="ref-kellner_schoeninger07"/>
    <w:p>
      <w:pPr>
        <w:pStyle w:val="Bibliography"/>
      </w:pPr>
      <w:r>
        <w:t xml:space="preserve">Kellner, C. M., and Schoeninger, M. J. (2007). A simple carbon isotope model for reconstructing prehistoric human diet.</w:t>
      </w:r>
      <w:r>
        <w:t xml:space="preserve"> </w:t>
      </w:r>
      <w:r>
        <w:rPr>
          <w:i/>
          <w:iCs/>
        </w:rPr>
        <w:t xml:space="preserve">American Journal of Physical Anthropology</w:t>
      </w:r>
      <w:r>
        <w:t xml:space="preserve"> </w:t>
      </w:r>
      <w:r>
        <w:t xml:space="preserve">133, 1112–1127. doi:</w:t>
      </w:r>
      <w:r>
        <w:t xml:space="preserve"> </w:t>
      </w:r>
      <w:hyperlink r:id="rId166">
        <w:r>
          <w:rPr>
            <w:rStyle w:val="Hyperlink"/>
          </w:rPr>
          <w:t xml:space="preserve">10.1002/ajpa.20618</w:t>
        </w:r>
      </w:hyperlink>
    </w:p>
    <w:bookmarkEnd w:id="167"/>
    <w:bookmarkStart w:id="169" w:name="ref-kohn10"/>
    <w:p>
      <w:pPr>
        <w:pStyle w:val="Bibliography"/>
      </w:pPr>
      <w:r>
        <w:t xml:space="preserve">Kohn, M. J. (2010). Carbon isotope compositions of terrestrial</w:t>
      </w:r>
      <w:r>
        <w:t xml:space="preserve"> </w:t>
      </w:r>
      <w:r>
        <w:t xml:space="preserve">C3</w:t>
      </w:r>
      <w:r>
        <w:t xml:space="preserve"> </w:t>
      </w:r>
      <w:r>
        <w:t xml:space="preserve">plants as indicators of (paleo)ecology and (paleo)climate.</w:t>
      </w:r>
      <w:r>
        <w:t xml:space="preserve"> </w:t>
      </w:r>
      <w:r>
        <w:rPr>
          <w:i/>
          <w:iCs/>
        </w:rPr>
        <w:t xml:space="preserve">Proc Natl Acad Sci U S A</w:t>
      </w:r>
      <w:r>
        <w:t xml:space="preserve"> </w:t>
      </w:r>
      <w:r>
        <w:t xml:space="preserve">107, 19691–19695. doi:</w:t>
      </w:r>
      <w:r>
        <w:t xml:space="preserve"> </w:t>
      </w:r>
      <w:hyperlink r:id="rId168">
        <w:r>
          <w:rPr>
            <w:rStyle w:val="Hyperlink"/>
          </w:rPr>
          <w:t xml:space="preserve">10.1073/pnas.1004933107</w:t>
        </w:r>
      </w:hyperlink>
    </w:p>
    <w:bookmarkEnd w:id="169"/>
    <w:bookmarkStart w:id="171" w:name="ref-leegood13"/>
    <w:p>
      <w:pPr>
        <w:pStyle w:val="Bibliography"/>
      </w:pPr>
      <w:r>
        <w:t xml:space="preserve">Leegood, R. C. (2013).</w:t>
      </w:r>
      <w:r>
        <w:t xml:space="preserve"> </w:t>
      </w:r>
      <w:r>
        <w:t xml:space="preserve">“Photosynthesis,”</w:t>
      </w:r>
      <w:r>
        <w:t xml:space="preserve"> </w:t>
      </w:r>
      <w:r>
        <w:t xml:space="preserve">in</w:t>
      </w:r>
      <w:r>
        <w:t xml:space="preserve"> </w:t>
      </w:r>
      <w:r>
        <w:rPr>
          <w:i/>
          <w:iCs/>
        </w:rPr>
        <w:t xml:space="preserve">Encyclopedia of</w:t>
      </w:r>
      <w:r>
        <w:rPr>
          <w:i/>
          <w:iCs/>
        </w:rPr>
        <w:t xml:space="preserve"> </w:t>
      </w:r>
      <w:r>
        <w:rPr>
          <w:i/>
          <w:iCs/>
        </w:rPr>
        <w:t xml:space="preserve">Biological Chemistry</w:t>
      </w:r>
      <w:r>
        <w:rPr>
          <w:i/>
          <w:iCs/>
        </w:rPr>
        <w:t xml:space="preserve"> </w:t>
      </w:r>
      <w:r>
        <w:rPr>
          <w:i/>
          <w:iCs/>
        </w:rPr>
        <w:t xml:space="preserve">(</w:t>
      </w:r>
      <w:r>
        <w:rPr>
          <w:i/>
          <w:iCs/>
        </w:rPr>
        <w:t xml:space="preserve">Second Edition</w:t>
      </w:r>
      <w:r>
        <w:rPr>
          <w:i/>
          <w:iCs/>
        </w:rPr>
        <w:t xml:space="preserve">)</w:t>
      </w:r>
      <w:r>
        <w:t xml:space="preserve">, eds. W. J. Lennarz and M. D. Lane (</w:t>
      </w:r>
      <w:r>
        <w:t xml:space="preserve">Waltham</w:t>
      </w:r>
      <w:r>
        <w:t xml:space="preserve">:</w:t>
      </w:r>
      <w:r>
        <w:t xml:space="preserve"> </w:t>
      </w:r>
      <w:r>
        <w:t xml:space="preserve">Academic Press</w:t>
      </w:r>
      <w:r>
        <w:t xml:space="preserve">), 492–496. doi:</w:t>
      </w:r>
      <w:r>
        <w:t xml:space="preserve"> </w:t>
      </w:r>
      <w:hyperlink r:id="rId170">
        <w:r>
          <w:rPr>
            <w:rStyle w:val="Hyperlink"/>
          </w:rPr>
          <w:t xml:space="preserve">10.1016/B978-0-12-378630-2.00049-9</w:t>
        </w:r>
      </w:hyperlink>
    </w:p>
    <w:bookmarkEnd w:id="171"/>
    <w:bookmarkStart w:id="173" w:name="ref-longin71"/>
    <w:p>
      <w:pPr>
        <w:pStyle w:val="Bibliography"/>
      </w:pPr>
      <w:r>
        <w:t xml:space="preserve">Longin, R. (1971). New</w:t>
      </w:r>
      <w:r>
        <w:t xml:space="preserve"> </w:t>
      </w:r>
      <w:r>
        <w:t xml:space="preserve">Method</w:t>
      </w:r>
      <w:r>
        <w:t xml:space="preserve"> </w:t>
      </w:r>
      <w:r>
        <w:t xml:space="preserve">of</w:t>
      </w:r>
      <w:r>
        <w:t xml:space="preserve"> </w:t>
      </w:r>
      <w:r>
        <w:t xml:space="preserve">Collagen Extraction</w:t>
      </w:r>
      <w:r>
        <w:t xml:space="preserve"> </w:t>
      </w:r>
      <w:r>
        <w:t xml:space="preserve">for</w:t>
      </w:r>
      <w:r>
        <w:t xml:space="preserve"> </w:t>
      </w:r>
      <w:r>
        <w:t xml:space="preserve">Radiocarbon Dating</w:t>
      </w:r>
      <w:r>
        <w:t xml:space="preserve">.</w:t>
      </w:r>
      <w:r>
        <w:t xml:space="preserve"> </w:t>
      </w:r>
      <w:r>
        <w:rPr>
          <w:i/>
          <w:iCs/>
        </w:rPr>
        <w:t xml:space="preserve">Nature</w:t>
      </w:r>
      <w:r>
        <w:t xml:space="preserve"> </w:t>
      </w:r>
      <w:r>
        <w:t xml:space="preserve">230, 241–242. doi:</w:t>
      </w:r>
      <w:r>
        <w:t xml:space="preserve"> </w:t>
      </w:r>
      <w:hyperlink r:id="rId172">
        <w:r>
          <w:rPr>
            <w:rStyle w:val="Hyperlink"/>
          </w:rPr>
          <w:t xml:space="preserve">10.1038/230241a0</w:t>
        </w:r>
      </w:hyperlink>
    </w:p>
    <w:bookmarkEnd w:id="173"/>
    <w:bookmarkStart w:id="175" w:name="ref-luoetal2018"/>
    <w:p>
      <w:pPr>
        <w:pStyle w:val="Bibliography"/>
      </w:pPr>
      <w:r>
        <w:t xml:space="preserve">Luo, W., Wang, X., Sardans, J., Wang, Z., Dijkstra, F. A., Lü, X.-T., et al. (2018). Higher capability of</w:t>
      </w:r>
      <w:r>
        <w:t xml:space="preserve"> </w:t>
      </w:r>
      <w:r>
        <w:t xml:space="preserve">C3</w:t>
      </w:r>
      <w:r>
        <w:t xml:space="preserve"> </w:t>
      </w:r>
      <w:r>
        <w:t xml:space="preserve">than</w:t>
      </w:r>
      <w:r>
        <w:t xml:space="preserve"> </w:t>
      </w:r>
      <w:r>
        <w:t xml:space="preserve">C4</w:t>
      </w:r>
      <w:r>
        <w:t xml:space="preserve"> </w:t>
      </w:r>
      <w:r>
        <w:t xml:space="preserve">plants to use nitrogen inferred from nitrogen stable isotopes along an aridity gradient.</w:t>
      </w:r>
      <w:r>
        <w:t xml:space="preserve"> </w:t>
      </w:r>
      <w:r>
        <w:rPr>
          <w:i/>
          <w:iCs/>
        </w:rPr>
        <w:t xml:space="preserve">Plant and Soil</w:t>
      </w:r>
      <w:r>
        <w:t xml:space="preserve"> </w:t>
      </w:r>
      <w:r>
        <w:t xml:space="preserve">428, 93–103. doi:</w:t>
      </w:r>
      <w:r>
        <w:t xml:space="preserve"> </w:t>
      </w:r>
      <w:hyperlink r:id="rId174">
        <w:r>
          <w:rPr>
            <w:rStyle w:val="Hyperlink"/>
          </w:rPr>
          <w:t xml:space="preserve">10.1007/s11104-018-3661-2</w:t>
        </w:r>
      </w:hyperlink>
    </w:p>
    <w:bookmarkEnd w:id="175"/>
    <w:bookmarkStart w:id="176" w:name="ref-magny_etal02"/>
    <w:p>
      <w:pPr>
        <w:pStyle w:val="Bibliography"/>
      </w:pPr>
      <w:r>
        <w:t xml:space="preserve">Magny, M., Miramont, C., and Sivan, O. (2002). Assessment of the impact of climate and anthropogenic factors on</w:t>
      </w:r>
      <w:r>
        <w:t xml:space="preserve"> </w:t>
      </w:r>
      <w:r>
        <w:t xml:space="preserve">Holocene Mediterranean</w:t>
      </w:r>
      <w:r>
        <w:t xml:space="preserve"> </w:t>
      </w:r>
      <w:r>
        <w:t xml:space="preserve">vegetation in</w:t>
      </w:r>
      <w:r>
        <w:t xml:space="preserve"> </w:t>
      </w:r>
      <w:r>
        <w:t xml:space="preserve">Europe</w:t>
      </w:r>
      <w:r>
        <w:t xml:space="preserve"> </w:t>
      </w:r>
      <w:r>
        <w:t xml:space="preserve">on the basis of palaeohydrological records.</w:t>
      </w:r>
      <w:r>
        <w:t xml:space="preserve"> </w:t>
      </w:r>
      <w:r>
        <w:rPr>
          <w:i/>
          <w:iCs/>
        </w:rPr>
        <w:t xml:space="preserve">Palaeogeography, Palaeoclimatology, Palaeoecology</w:t>
      </w:r>
      <w:r>
        <w:t xml:space="preserve"> </w:t>
      </w:r>
      <w:r>
        <w:t xml:space="preserve">186, 47–59.</w:t>
      </w:r>
    </w:p>
    <w:bookmarkEnd w:id="176"/>
    <w:bookmarkStart w:id="177" w:name="ref-manfredi92"/>
    <w:p>
      <w:pPr>
        <w:pStyle w:val="Bibliography"/>
      </w:pPr>
      <w:r>
        <w:t xml:space="preserve">Manfredi, L. I. (1992). Le saline e il sale nel mondo punico.</w:t>
      </w:r>
      <w:r>
        <w:t xml:space="preserve"> </w:t>
      </w:r>
      <w:r>
        <w:rPr>
          <w:i/>
          <w:iCs/>
        </w:rPr>
        <w:t xml:space="preserve">Rivista di Studi Fenici</w:t>
      </w:r>
      <w:r>
        <w:t xml:space="preserve"> </w:t>
      </w:r>
      <w:r>
        <w:t xml:space="preserve">20, 3–14.</w:t>
      </w:r>
    </w:p>
    <w:bookmarkEnd w:id="177"/>
    <w:bookmarkStart w:id="178" w:name="ref-markoe05"/>
    <w:p>
      <w:pPr>
        <w:pStyle w:val="Bibliography"/>
      </w:pPr>
      <w:r>
        <w:t xml:space="preserve">Markoe, G. E. (2005). Phoenicians.</w:t>
      </w:r>
      <w:r>
        <w:t xml:space="preserve"> </w:t>
      </w:r>
      <w:r>
        <w:t xml:space="preserve">London</w:t>
      </w:r>
      <w:r>
        <w:t xml:space="preserve">: The</w:t>
      </w:r>
      <w:r>
        <w:t xml:space="preserve"> </w:t>
      </w:r>
      <w:r>
        <w:t xml:space="preserve">British Museum</w:t>
      </w:r>
      <w:r>
        <w:t xml:space="preserve">.</w:t>
      </w:r>
    </w:p>
    <w:bookmarkEnd w:id="178"/>
    <w:bookmarkStart w:id="179" w:name="ref-martin71"/>
    <w:p>
      <w:pPr>
        <w:pStyle w:val="Bibliography"/>
      </w:pPr>
      <w:r>
        <w:t xml:space="preserve">Martin, R. (1971). Recherches sur les agronomes latins et leurs conceptions économiques et sociales.</w:t>
      </w:r>
    </w:p>
    <w:bookmarkEnd w:id="179"/>
    <w:bookmarkStart w:id="180" w:name="ref-mcardleetal1998"/>
    <w:p>
      <w:pPr>
        <w:pStyle w:val="Bibliography"/>
      </w:pPr>
      <w:r>
        <w:t xml:space="preserve">McArdle, N., Liss, P., and Dennis, P. (1998). An isotopic study of atmospheric sulphur at three sites in</w:t>
      </w:r>
      <w:r>
        <w:t xml:space="preserve"> </w:t>
      </w:r>
      <w:r>
        <w:t xml:space="preserve">Wales</w:t>
      </w:r>
      <w:r>
        <w:t xml:space="preserve"> </w:t>
      </w:r>
      <w:r>
        <w:t xml:space="preserve">and at</w:t>
      </w:r>
      <w:r>
        <w:t xml:space="preserve"> </w:t>
      </w:r>
      <w:r>
        <w:t xml:space="preserve">Mace Head</w:t>
      </w:r>
      <w:r>
        <w:t xml:space="preserve">,</w:t>
      </w:r>
      <w:r>
        <w:t xml:space="preserve"> </w:t>
      </w:r>
      <w:r>
        <w:t xml:space="preserve">Eire</w:t>
      </w:r>
      <w:r>
        <w:t xml:space="preserve">.</w:t>
      </w:r>
      <w:r>
        <w:t xml:space="preserve"> </w:t>
      </w:r>
      <w:r>
        <w:rPr>
          <w:i/>
          <w:iCs/>
        </w:rPr>
        <w:t xml:space="preserve">Journal of Geophysical Research: Atmospheres</w:t>
      </w:r>
      <w:r>
        <w:t xml:space="preserve"> </w:t>
      </w:r>
      <w:r>
        <w:t xml:space="preserve">103, 31079–31094.</w:t>
      </w:r>
    </w:p>
    <w:bookmarkEnd w:id="180"/>
    <w:bookmarkStart w:id="182" w:name="ref-mizota_sasaki96"/>
    <w:p>
      <w:pPr>
        <w:pStyle w:val="Bibliography"/>
      </w:pPr>
      <w:r>
        <w:t xml:space="preserve">Mizota, C., and Sasaki, A. (1996). Sulfur isotope composition of soils and fertilizers:</w:t>
      </w:r>
      <w:r>
        <w:t xml:space="preserve"> </w:t>
      </w:r>
      <w:r>
        <w:t xml:space="preserve">Differences</w:t>
      </w:r>
      <w:r>
        <w:t xml:space="preserve"> </w:t>
      </w:r>
      <w:r>
        <w:t xml:space="preserve">between</w:t>
      </w:r>
      <w:r>
        <w:t xml:space="preserve"> </w:t>
      </w:r>
      <w:r>
        <w:t xml:space="preserve">Northern</w:t>
      </w:r>
      <w:r>
        <w:t xml:space="preserve"> </w:t>
      </w:r>
      <w:r>
        <w:t xml:space="preserve">and</w:t>
      </w:r>
      <w:r>
        <w:t xml:space="preserve"> </w:t>
      </w:r>
      <w:r>
        <w:t xml:space="preserve">Southern</w:t>
      </w:r>
      <w:r>
        <w:t xml:space="preserve"> </w:t>
      </w:r>
      <w:r>
        <w:t xml:space="preserve">hemispheres.</w:t>
      </w:r>
      <w:r>
        <w:t xml:space="preserve"> </w:t>
      </w:r>
      <w:r>
        <w:rPr>
          <w:i/>
          <w:iCs/>
        </w:rPr>
        <w:t xml:space="preserve">Geoderma</w:t>
      </w:r>
      <w:r>
        <w:t xml:space="preserve"> </w:t>
      </w:r>
      <w:r>
        <w:t xml:space="preserve">71, 77–93. doi:</w:t>
      </w:r>
      <w:r>
        <w:t xml:space="preserve"> </w:t>
      </w:r>
      <w:hyperlink r:id="rId181">
        <w:r>
          <w:rPr>
            <w:rStyle w:val="Hyperlink"/>
          </w:rPr>
          <w:t xml:space="preserve">10.1016/0016-7061(95)00091-7</w:t>
        </w:r>
      </w:hyperlink>
    </w:p>
    <w:bookmarkEnd w:id="182"/>
    <w:bookmarkStart w:id="183" w:name="ref-mouraetal2017"/>
    <w:p>
      <w:pPr>
        <w:pStyle w:val="Bibliography"/>
      </w:pPr>
      <w:r>
        <w:t xml:space="preserve">Moura, D., Gomes, A., Mendes, I., and Aníbal, J. (2017). Guadiana river estuary.</w:t>
      </w:r>
      <w:r>
        <w:t xml:space="preserve"> </w:t>
      </w:r>
      <w:r>
        <w:rPr>
          <w:i/>
          <w:iCs/>
        </w:rPr>
        <w:t xml:space="preserve">Investigating the past, present and future</w:t>
      </w:r>
      <w:r>
        <w:t xml:space="preserve">.</w:t>
      </w:r>
    </w:p>
    <w:bookmarkEnd w:id="183"/>
    <w:bookmarkStart w:id="185" w:name="ref-nehlich15"/>
    <w:p>
      <w:pPr>
        <w:pStyle w:val="Bibliography"/>
      </w:pPr>
      <w:r>
        <w:t xml:space="preserve">Nehlich, O. (2015). The application of sulphur isotope analyses in archaeological research:</w:t>
      </w:r>
      <w:r>
        <w:t xml:space="preserve"> </w:t>
      </w:r>
      <w:r>
        <w:t xml:space="preserve">A</w:t>
      </w:r>
      <w:r>
        <w:t xml:space="preserve"> </w:t>
      </w:r>
      <w:r>
        <w:t xml:space="preserve">review.</w:t>
      </w:r>
      <w:r>
        <w:t xml:space="preserve"> </w:t>
      </w:r>
      <w:r>
        <w:rPr>
          <w:i/>
          <w:iCs/>
        </w:rPr>
        <w:t xml:space="preserve">Earth-Science Reviews</w:t>
      </w:r>
      <w:r>
        <w:t xml:space="preserve"> </w:t>
      </w:r>
      <w:r>
        <w:t xml:space="preserve">142, 1–17. doi:</w:t>
      </w:r>
      <w:r>
        <w:t xml:space="preserve"> </w:t>
      </w:r>
      <w:hyperlink r:id="rId184">
        <w:r>
          <w:rPr>
            <w:rStyle w:val="Hyperlink"/>
          </w:rPr>
          <w:t xml:space="preserve">10.1016/j.earscirev.2014.12.002</w:t>
        </w:r>
      </w:hyperlink>
    </w:p>
    <w:bookmarkEnd w:id="185"/>
    <w:bookmarkStart w:id="186" w:name="ref-nehlich_etal10"/>
    <w:p>
      <w:pPr>
        <w:pStyle w:val="Bibliography"/>
      </w:pPr>
      <w:r>
        <w:t xml:space="preserve">Nehlich, O., Borić, D., Stefanović, S., and Richards, M. P. (2010). Sulphur isotope evidence for freshwater fish consumption: A case study from the</w:t>
      </w:r>
      <w:r>
        <w:t xml:space="preserve"> </w:t>
      </w:r>
      <w:r>
        <w:t xml:space="preserve">Danube Gorges</w:t>
      </w:r>
      <w:r>
        <w:t xml:space="preserve">,</w:t>
      </w:r>
      <w:r>
        <w:t xml:space="preserve"> </w:t>
      </w:r>
      <w:r>
        <w:t xml:space="preserve">SE Europe</w:t>
      </w:r>
      <w:r>
        <w:t xml:space="preserve">.</w:t>
      </w:r>
      <w:r>
        <w:t xml:space="preserve"> </w:t>
      </w:r>
      <w:r>
        <w:rPr>
          <w:i/>
          <w:iCs/>
        </w:rPr>
        <w:t xml:space="preserve">Journal of Archaeological Science</w:t>
      </w:r>
      <w:r>
        <w:t xml:space="preserve"> </w:t>
      </w:r>
      <w:r>
        <w:t xml:space="preserve">37, 1131–1139.</w:t>
      </w:r>
    </w:p>
    <w:bookmarkEnd w:id="186"/>
    <w:bookmarkStart w:id="187" w:name="ref-nehlich_richards09"/>
    <w:p>
      <w:pPr>
        <w:pStyle w:val="Bibliography"/>
      </w:pPr>
      <w:r>
        <w:t xml:space="preserve">Nehlich, O., and Richards, M. P. (2009). Establishing collagen quality criteria for sulphur isotope analysis of archaeological bone collagen.</w:t>
      </w:r>
      <w:r>
        <w:t xml:space="preserve"> </w:t>
      </w:r>
      <w:r>
        <w:rPr>
          <w:i/>
          <w:iCs/>
        </w:rPr>
        <w:t xml:space="preserve">Archaeological and Anthropological Sciences</w:t>
      </w:r>
      <w:r>
        <w:t xml:space="preserve"> </w:t>
      </w:r>
      <w:r>
        <w:t xml:space="preserve">1, 59–75.</w:t>
      </w:r>
    </w:p>
    <w:bookmarkEnd w:id="187"/>
    <w:bookmarkStart w:id="188" w:name="ref-neville98"/>
    <w:p>
      <w:pPr>
        <w:pStyle w:val="Bibliography"/>
      </w:pPr>
      <w:r>
        <w:t xml:space="preserve">Neville, A. (1998). The</w:t>
      </w:r>
      <w:r>
        <w:t xml:space="preserve"> </w:t>
      </w:r>
      <w:r>
        <w:t xml:space="preserve">Phoenicians</w:t>
      </w:r>
      <w:r>
        <w:t xml:space="preserve"> </w:t>
      </w:r>
      <w:r>
        <w:t xml:space="preserve">in</w:t>
      </w:r>
      <w:r>
        <w:t xml:space="preserve"> </w:t>
      </w:r>
      <w:r>
        <w:t xml:space="preserve">Iberia</w:t>
      </w:r>
      <w:r>
        <w:t xml:space="preserve">:</w:t>
      </w:r>
      <w:r>
        <w:t xml:space="preserve"> </w:t>
      </w:r>
      <w:r>
        <w:t xml:space="preserve">Settlements</w:t>
      </w:r>
      <w:r>
        <w:t xml:space="preserve">,</w:t>
      </w:r>
      <w:r>
        <w:t xml:space="preserve"> </w:t>
      </w:r>
      <w:r>
        <w:t xml:space="preserve">Cemetries</w:t>
      </w:r>
      <w:r>
        <w:t xml:space="preserve">,</w:t>
      </w:r>
      <w:r>
        <w:t xml:space="preserve"> </w:t>
      </w:r>
      <w:r>
        <w:t xml:space="preserve">Trade</w:t>
      </w:r>
      <w:r>
        <w:t xml:space="preserve"> </w:t>
      </w:r>
      <w:r>
        <w:t xml:space="preserve">and</w:t>
      </w:r>
      <w:r>
        <w:t xml:space="preserve"> </w:t>
      </w:r>
      <w:r>
        <w:t xml:space="preserve">Agriculture</w:t>
      </w:r>
      <w:r>
        <w:t xml:space="preserve">.</w:t>
      </w:r>
    </w:p>
    <w:bookmarkEnd w:id="188"/>
    <w:bookmarkStart w:id="190" w:name="ref-nitsch_etal15"/>
    <w:p>
      <w:pPr>
        <w:pStyle w:val="Bibliography"/>
      </w:pPr>
      <w:r>
        <w:t xml:space="preserve">Nitsch, E., Charles, M., and Bogaard, A. (2015). Calculating a statistically robust</w:t>
      </w:r>
      <w:r>
        <w:t xml:space="preserve"> </w:t>
      </w:r>
      <m:oMath>
        <m:sSup>
          <m:e>
            <m:r>
              <m:t>δ</m:t>
            </m:r>
          </m:e>
          <m:sup>
            <m:r>
              <m:t>13</m:t>
            </m:r>
          </m:sup>
        </m:sSup>
        <m:r>
          <m:t>C</m:t>
        </m:r>
      </m:oMath>
      <w:r>
        <w:t xml:space="preserve"> </w:t>
      </w:r>
      <w:r>
        <w:t xml:space="preserve">and</w:t>
      </w:r>
      <w:r>
        <w:t xml:space="preserve"> </w:t>
      </w:r>
      <m:oMath>
        <m:sSup>
          <m:e>
            <m:r>
              <m:t>δ</m:t>
            </m:r>
          </m:e>
          <m:sup>
            <m:r>
              <m:t>15</m:t>
            </m:r>
          </m:sup>
        </m:sSup>
        <m:r>
          <m:t>N</m:t>
        </m:r>
      </m:oMath>
      <w:r>
        <w:t xml:space="preserve"> </w:t>
      </w:r>
      <w:r>
        <w:t xml:space="preserve">offset for charred cereal and pulse seeds.</w:t>
      </w:r>
      <w:r>
        <w:t xml:space="preserve"> </w:t>
      </w:r>
      <w:r>
        <w:rPr>
          <w:i/>
          <w:iCs/>
        </w:rPr>
        <w:t xml:space="preserve">STAR: Science &amp; Technology of Archaeological Research</w:t>
      </w:r>
      <w:r>
        <w:t xml:space="preserve"> </w:t>
      </w:r>
      <w:r>
        <w:t xml:space="preserve">1, 1–8. doi:</w:t>
      </w:r>
      <w:r>
        <w:t xml:space="preserve"> </w:t>
      </w:r>
      <w:hyperlink r:id="rId189">
        <w:r>
          <w:rPr>
            <w:rStyle w:val="Hyperlink"/>
          </w:rPr>
          <w:t xml:space="preserve">10.1179/2054892315Y.0000000001</w:t>
        </w:r>
      </w:hyperlink>
    </w:p>
    <w:bookmarkEnd w:id="190"/>
    <w:bookmarkStart w:id="192" w:name="ref-nitsch_etal19"/>
    <w:p>
      <w:pPr>
        <w:pStyle w:val="Bibliography"/>
      </w:pPr>
      <w:r>
        <w:t xml:space="preserve">Nitsch, E., Lamb, A., Heaton, T., Vaiglova, P., Fraser, R., Hartman, G., et al. (2019). The</w:t>
      </w:r>
      <w:r>
        <w:t xml:space="preserve"> </w:t>
      </w:r>
      <w:r>
        <w:t xml:space="preserve">Preservation</w:t>
      </w:r>
      <w:r>
        <w:t xml:space="preserve"> </w:t>
      </w:r>
      <w:r>
        <w:t xml:space="preserve">and</w:t>
      </w:r>
      <w:r>
        <w:t xml:space="preserve"> </w:t>
      </w:r>
      <w:r>
        <w:t xml:space="preserve">Interpretation</w:t>
      </w:r>
      <w:r>
        <w:t xml:space="preserve"> </w:t>
      </w:r>
      <w:r>
        <w:t xml:space="preserve">of</w:t>
      </w:r>
      <w:r>
        <w:t xml:space="preserve"> </w:t>
      </w:r>
      <m:oMath>
        <m:sSup>
          <m:e>
            <m:r>
              <m:t>δ</m:t>
            </m:r>
          </m:e>
          <m:sup>
            <m:r>
              <m:t>34</m:t>
            </m:r>
          </m:sup>
        </m:sSup>
        <m:r>
          <m:t>S</m:t>
        </m:r>
      </m:oMath>
      <w:r>
        <w:t xml:space="preserve"> </w:t>
      </w:r>
      <w:r>
        <w:t xml:space="preserve">Values</w:t>
      </w:r>
      <w:r>
        <w:t xml:space="preserve"> </w:t>
      </w:r>
      <w:r>
        <w:t xml:space="preserve">in</w:t>
      </w:r>
      <w:r>
        <w:t xml:space="preserve"> </w:t>
      </w:r>
      <w:r>
        <w:t xml:space="preserve">Charred Archaeobotanical Remains</w:t>
      </w:r>
      <w:r>
        <w:t xml:space="preserve">.</w:t>
      </w:r>
      <w:r>
        <w:t xml:space="preserve"> </w:t>
      </w:r>
      <w:r>
        <w:rPr>
          <w:i/>
          <w:iCs/>
        </w:rPr>
        <w:t xml:space="preserve">Archaeometry</w:t>
      </w:r>
      <w:r>
        <w:t xml:space="preserve"> </w:t>
      </w:r>
      <w:r>
        <w:t xml:space="preserve">61, 161–178. doi:</w:t>
      </w:r>
      <w:r>
        <w:t xml:space="preserve"> </w:t>
      </w:r>
      <w:hyperlink r:id="rId191">
        <w:r>
          <w:rPr>
            <w:rStyle w:val="Hyperlink"/>
          </w:rPr>
          <w:t xml:space="preserve">10.1111/arcm.12388</w:t>
        </w:r>
      </w:hyperlink>
    </w:p>
    <w:bookmarkEnd w:id="192"/>
    <w:bookmarkStart w:id="194" w:name="ref-normanetal2006"/>
    <w:p>
      <w:pPr>
        <w:pStyle w:val="Bibliography"/>
      </w:pPr>
      <w:r>
        <w:t xml:space="preserve">Norman, A.-L., Anlauf, K., Hayden, K., Thompson, B., Brook, J. R., Li, S.-M., et al. (2006). Aerosol sulphate and its oxidation on the</w:t>
      </w:r>
      <w:r>
        <w:t xml:space="preserve"> </w:t>
      </w:r>
      <w:r>
        <w:t xml:space="preserve">Pacific NW</w:t>
      </w:r>
      <w:r>
        <w:t xml:space="preserve"> </w:t>
      </w:r>
      <w:r>
        <w:t xml:space="preserve">coast:</w:t>
      </w:r>
      <w:r>
        <w:t xml:space="preserve"> </w:t>
      </w:r>
      <w:r>
        <w:t xml:space="preserve">S</w:t>
      </w:r>
      <w:r>
        <w:t xml:space="preserve"> </w:t>
      </w:r>
      <w:r>
        <w:t xml:space="preserve">and</w:t>
      </w:r>
      <w:r>
        <w:t xml:space="preserve"> </w:t>
      </w:r>
      <w:r>
        <w:t xml:space="preserve">O</w:t>
      </w:r>
      <w:r>
        <w:t xml:space="preserve"> </w:t>
      </w:r>
      <w:r>
        <w:t xml:space="preserve">isotopes in</w:t>
      </w:r>
      <w:r>
        <w:t xml:space="preserve"> </w:t>
      </w:r>
      <w:r>
        <w:t xml:space="preserve">PM2</w:t>
      </w:r>
      <w:r>
        <w:t xml:space="preserve">. 5.</w:t>
      </w:r>
      <w:r>
        <w:t xml:space="preserve"> </w:t>
      </w:r>
      <w:r>
        <w:rPr>
          <w:i/>
          <w:iCs/>
        </w:rPr>
        <w:t xml:space="preserve">Atmospheric Environment</w:t>
      </w:r>
      <w:r>
        <w:t xml:space="preserve"> </w:t>
      </w:r>
      <w:r>
        <w:t xml:space="preserve">40, 2676–2689. doi:</w:t>
      </w:r>
      <w:r>
        <w:t xml:space="preserve"> </w:t>
      </w:r>
      <w:hyperlink r:id="rId193">
        <w:r>
          <w:rPr>
            <w:rStyle w:val="Hyperlink"/>
          </w:rPr>
          <w:t xml:space="preserve">10.1016/j.atmosenv.2005.09.085</w:t>
        </w:r>
      </w:hyperlink>
    </w:p>
    <w:bookmarkEnd w:id="194"/>
    <w:bookmarkStart w:id="195" w:name="ref-papachristou1997"/>
    <w:p>
      <w:pPr>
        <w:pStyle w:val="Bibliography"/>
      </w:pPr>
      <w:r>
        <w:t xml:space="preserve">Papachristou, T. (1997). Foraging behaviour of goats and sheep on</w:t>
      </w:r>
      <w:r>
        <w:t xml:space="preserve"> </w:t>
      </w:r>
      <w:r>
        <w:t xml:space="preserve">Mediterranean</w:t>
      </w:r>
      <w:r>
        <w:t xml:space="preserve"> </w:t>
      </w:r>
      <w:r>
        <w:t xml:space="preserve">kermes oak shrublands.</w:t>
      </w:r>
      <w:r>
        <w:t xml:space="preserve"> </w:t>
      </w:r>
      <w:r>
        <w:rPr>
          <w:i/>
          <w:iCs/>
        </w:rPr>
        <w:t xml:space="preserve">Small Ruminant Research</w:t>
      </w:r>
      <w:r>
        <w:t xml:space="preserve"> </w:t>
      </w:r>
      <w:r>
        <w:t xml:space="preserve">24, 85–93.</w:t>
      </w:r>
    </w:p>
    <w:bookmarkEnd w:id="195"/>
    <w:bookmarkStart w:id="196" w:name="ref-payne69"/>
    <w:p>
      <w:pPr>
        <w:pStyle w:val="Bibliography"/>
      </w:pPr>
      <w:r>
        <w:t xml:space="preserve">Payne, S. (1969). A metrical distinction between sheep and goat metacarpals.</w:t>
      </w:r>
      <w:r>
        <w:t xml:space="preserve"> </w:t>
      </w:r>
      <w:r>
        <w:rPr>
          <w:i/>
          <w:iCs/>
        </w:rPr>
        <w:t xml:space="preserve">The domestication and exploitation of plants and animals</w:t>
      </w:r>
      <w:r>
        <w:t xml:space="preserve">, 295–305.</w:t>
      </w:r>
    </w:p>
    <w:bookmarkEnd w:id="196"/>
    <w:bookmarkStart w:id="198" w:name="ref-pena-chocarro_etal19"/>
    <w:p>
      <w:pPr>
        <w:pStyle w:val="Bibliography"/>
      </w:pPr>
      <w:r>
        <w:t xml:space="preserve">Peña-Chocarro, L., Pérez- Jordà, G., Alonso, N., Antolín, F., Teira-Brión, A., Tereso, J. P., et al. (2019). Roman and medieval crops in the</w:t>
      </w:r>
      <w:r>
        <w:t xml:space="preserve"> </w:t>
      </w:r>
      <w:r>
        <w:t xml:space="preserve">Iberian Peninsula</w:t>
      </w:r>
      <w:r>
        <w:t xml:space="preserve">:</w:t>
      </w:r>
      <w:r>
        <w:t xml:space="preserve"> </w:t>
      </w:r>
      <w:r>
        <w:t xml:space="preserve">A</w:t>
      </w:r>
      <w:r>
        <w:t xml:space="preserve"> </w:t>
      </w:r>
      <w:r>
        <w:t xml:space="preserve">first overview of seeds and fruits from archaeological sites.</w:t>
      </w:r>
      <w:r>
        <w:t xml:space="preserve"> </w:t>
      </w:r>
      <w:r>
        <w:rPr>
          <w:i/>
          <w:iCs/>
        </w:rPr>
        <w:t xml:space="preserve">Quaternary International</w:t>
      </w:r>
      <w:r>
        <w:t xml:space="preserve"> </w:t>
      </w:r>
      <w:r>
        <w:t xml:space="preserve">499, 49–66. doi:</w:t>
      </w:r>
      <w:r>
        <w:t xml:space="preserve"> </w:t>
      </w:r>
      <w:hyperlink r:id="rId197">
        <w:r>
          <w:rPr>
            <w:rStyle w:val="Hyperlink"/>
          </w:rPr>
          <w:t xml:space="preserve">10.1016/j.quaint.2017.09.037</w:t>
        </w:r>
      </w:hyperlink>
    </w:p>
    <w:bookmarkEnd w:id="198"/>
    <w:bookmarkStart w:id="200" w:name="ref-perez-hurtado_etal97"/>
    <w:p>
      <w:pPr>
        <w:pStyle w:val="Bibliography"/>
      </w:pPr>
      <w:r>
        <w:t xml:space="preserve">Perez-Hurtado, A., Goss-Custard, J. D., and Garcia, F. (1997). The diet of wintering waders in</w:t>
      </w:r>
      <w:r>
        <w:t xml:space="preserve"> </w:t>
      </w:r>
      <w:r>
        <w:t xml:space="preserve">Cádiz Bay</w:t>
      </w:r>
      <w:r>
        <w:t xml:space="preserve">, southwest</w:t>
      </w:r>
      <w:r>
        <w:t xml:space="preserve"> </w:t>
      </w:r>
      <w:r>
        <w:t xml:space="preserve">Spain</w:t>
      </w:r>
      <w:r>
        <w:t xml:space="preserve">.</w:t>
      </w:r>
      <w:r>
        <w:t xml:space="preserve"> </w:t>
      </w:r>
      <w:r>
        <w:rPr>
          <w:i/>
          <w:iCs/>
        </w:rPr>
        <w:t xml:space="preserve">Bird Study</w:t>
      </w:r>
      <w:r>
        <w:t xml:space="preserve"> </w:t>
      </w:r>
      <w:r>
        <w:t xml:space="preserve">44, 45–52. doi:</w:t>
      </w:r>
      <w:r>
        <w:t xml:space="preserve"> </w:t>
      </w:r>
      <w:hyperlink r:id="rId199">
        <w:r>
          <w:rPr>
            <w:rStyle w:val="Hyperlink"/>
          </w:rPr>
          <w:t xml:space="preserve">10.1080/00063659709461037</w:t>
        </w:r>
      </w:hyperlink>
    </w:p>
    <w:bookmarkEnd w:id="200"/>
    <w:bookmarkStart w:id="202" w:name="ref-price_etal17"/>
    <w:p>
      <w:pPr>
        <w:pStyle w:val="Bibliography"/>
      </w:pPr>
      <w:r>
        <w:t xml:space="preserve">Price, G. C., Krigbaum, J., and Shelton, K. (2017). Stable isotopes and discriminating tastes:</w:t>
      </w:r>
      <w:r>
        <w:t xml:space="preserve"> </w:t>
      </w:r>
      <w:r>
        <w:t xml:space="preserve">Faunal</w:t>
      </w:r>
      <w:r>
        <w:t xml:space="preserve"> </w:t>
      </w:r>
      <w:r>
        <w:t xml:space="preserve">management practices at the</w:t>
      </w:r>
      <w:r>
        <w:t xml:space="preserve"> </w:t>
      </w:r>
      <w:r>
        <w:t xml:space="preserve">Late Bronze Age</w:t>
      </w:r>
      <w:r>
        <w:t xml:space="preserve"> </w:t>
      </w:r>
      <w:r>
        <w:t xml:space="preserve">settlement of</w:t>
      </w:r>
      <w:r>
        <w:t xml:space="preserve"> </w:t>
      </w:r>
      <w:r>
        <w:t xml:space="preserve">Mycenae</w:t>
      </w:r>
      <w:r>
        <w:t xml:space="preserve">,</w:t>
      </w:r>
      <w:r>
        <w:t xml:space="preserve"> </w:t>
      </w:r>
      <w:r>
        <w:t xml:space="preserve">Greece</w:t>
      </w:r>
      <w:r>
        <w:t xml:space="preserve">.</w:t>
      </w:r>
      <w:r>
        <w:t xml:space="preserve"> </w:t>
      </w:r>
      <w:r>
        <w:rPr>
          <w:i/>
          <w:iCs/>
        </w:rPr>
        <w:t xml:space="preserve">Journal of Archaeological Science: Reports</w:t>
      </w:r>
      <w:r>
        <w:t xml:space="preserve"> </w:t>
      </w:r>
      <w:r>
        <w:t xml:space="preserve">14, 116–126. doi:</w:t>
      </w:r>
      <w:r>
        <w:t xml:space="preserve"> </w:t>
      </w:r>
      <w:hyperlink r:id="rId201">
        <w:r>
          <w:rPr>
            <w:rStyle w:val="Hyperlink"/>
          </w:rPr>
          <w:t xml:space="preserve">10.1016/j.jasrep.2017.05.034</w:t>
        </w:r>
      </w:hyperlink>
    </w:p>
    <w:bookmarkEnd w:id="202"/>
    <w:bookmarkStart w:id="204" w:name="ref-pyankovetal2010"/>
    <w:p>
      <w:pPr>
        <w:pStyle w:val="Bibliography"/>
      </w:pPr>
      <w:r>
        <w:t xml:space="preserve">Pyankov, V., Ziegler, H., Akhani, H., Deigele, C., and Lüttge, U. (2010). European plants with</w:t>
      </w:r>
      <w:r>
        <w:t xml:space="preserve"> </w:t>
      </w:r>
      <w:r>
        <w:t xml:space="preserve">C4</w:t>
      </w:r>
      <w:r>
        <w:t xml:space="preserve"> </w:t>
      </w:r>
      <w:r>
        <w:t xml:space="preserve">photosynthesis: Geographical and taxonomic distribution and relations to climate parameters.</w:t>
      </w:r>
      <w:r>
        <w:t xml:space="preserve"> </w:t>
      </w:r>
      <w:r>
        <w:rPr>
          <w:i/>
          <w:iCs/>
        </w:rPr>
        <w:t xml:space="preserve">Botanical Journal of the Linnean Society</w:t>
      </w:r>
      <w:r>
        <w:t xml:space="preserve"> </w:t>
      </w:r>
      <w:r>
        <w:t xml:space="preserve">163, 283–304. doi:</w:t>
      </w:r>
      <w:r>
        <w:t xml:space="preserve"> </w:t>
      </w:r>
      <w:hyperlink r:id="rId203">
        <w:r>
          <w:rPr>
            <w:rStyle w:val="Hyperlink"/>
          </w:rPr>
          <w:t xml:space="preserve">10.1111/j.1095-8339.2010.01062.x</w:t>
        </w:r>
      </w:hyperlink>
    </w:p>
    <w:bookmarkEnd w:id="204"/>
    <w:bookmarkStart w:id="206" w:name="ref-queiroz_etal06"/>
    <w:p>
      <w:pPr>
        <w:pStyle w:val="Bibliography"/>
      </w:pPr>
      <w:r>
        <w:t xml:space="preserve">Queiroz, P., Mateus, J., Leeuwaarden, W., Pereira, T., and Dise, D. (2006).</w:t>
      </w:r>
      <w:r>
        <w:t xml:space="preserve"> </w:t>
      </w:r>
      <w:r>
        <w:rPr>
          <w:i/>
          <w:iCs/>
        </w:rPr>
        <w:t xml:space="preserve">Castro</w:t>
      </w:r>
      <w:r>
        <w:rPr>
          <w:i/>
          <w:iCs/>
        </w:rPr>
        <w:t xml:space="preserve"> </w:t>
      </w:r>
      <w:r>
        <w:rPr>
          <w:i/>
          <w:iCs/>
        </w:rPr>
        <w:t xml:space="preserve">Marim</w:t>
      </w:r>
      <w:r>
        <w:rPr>
          <w:i/>
          <w:iCs/>
        </w:rPr>
        <w:t xml:space="preserve"> </w:t>
      </w:r>
      <w:r>
        <w:rPr>
          <w:i/>
          <w:iCs/>
        </w:rPr>
        <w:t xml:space="preserve">e o seu território imediato durante a</w:t>
      </w:r>
      <w:r>
        <w:rPr>
          <w:i/>
          <w:iCs/>
        </w:rPr>
        <w:t xml:space="preserve"> </w:t>
      </w:r>
      <w:r>
        <w:rPr>
          <w:i/>
          <w:iCs/>
        </w:rPr>
        <w:t xml:space="preserve">Antiguidade</w:t>
      </w:r>
      <w:r>
        <w:rPr>
          <w:i/>
          <w:iCs/>
        </w:rPr>
        <w:t xml:space="preserve">.</w:t>
      </w:r>
      <w:r>
        <w:rPr>
          <w:i/>
          <w:iCs/>
        </w:rPr>
        <w:t xml:space="preserve"> </w:t>
      </w:r>
      <w:r>
        <w:rPr>
          <w:i/>
          <w:iCs/>
        </w:rPr>
        <w:t xml:space="preserve">Paleo-etno-Botânica</w:t>
      </w:r>
      <w:r>
        <w:rPr>
          <w:i/>
          <w:iCs/>
        </w:rPr>
        <w:t xml:space="preserve">.</w:t>
      </w:r>
      <w:r>
        <w:rPr>
          <w:i/>
          <w:iCs/>
        </w:rPr>
        <w:t xml:space="preserve"> </w:t>
      </w:r>
      <w:r>
        <w:rPr>
          <w:i/>
          <w:iCs/>
        </w:rPr>
        <w:t xml:space="preserve">Relatório Final</w:t>
      </w:r>
      <w:r>
        <w:rPr>
          <w:i/>
          <w:iCs/>
        </w:rPr>
        <w:t xml:space="preserve">.</w:t>
      </w:r>
      <w:r>
        <w:t xml:space="preserve"> doi:</w:t>
      </w:r>
      <w:r>
        <w:t xml:space="preserve"> </w:t>
      </w:r>
      <w:hyperlink r:id="rId205">
        <w:r>
          <w:rPr>
            <w:rStyle w:val="Hyperlink"/>
          </w:rPr>
          <w:t xml:space="preserve">10.13140/RG.2.2.25361.63848</w:t>
        </w:r>
      </w:hyperlink>
    </w:p>
    <w:bookmarkEnd w:id="206"/>
    <w:bookmarkStart w:id="207" w:name="ref-quinn19"/>
    <w:p>
      <w:pPr>
        <w:pStyle w:val="Bibliography"/>
      </w:pPr>
      <w:r>
        <w:t xml:space="preserve">Quinn, J. (2019).</w:t>
      </w:r>
      <w:r>
        <w:t xml:space="preserve"> </w:t>
      </w:r>
      <w:r>
        <w:rPr>
          <w:i/>
          <w:iCs/>
        </w:rPr>
        <w:t xml:space="preserve">In search of the</w:t>
      </w:r>
      <w:r>
        <w:rPr>
          <w:i/>
          <w:iCs/>
        </w:rPr>
        <w:t xml:space="preserve"> </w:t>
      </w:r>
      <w:r>
        <w:rPr>
          <w:i/>
          <w:iCs/>
        </w:rPr>
        <w:t xml:space="preserve">Phoenicians</w:t>
      </w:r>
      <w:r>
        <w:t xml:space="preserve">.</w:t>
      </w:r>
      <w:r>
        <w:t xml:space="preserve"> </w:t>
      </w:r>
      <w:r>
        <w:t xml:space="preserve">Princeton University Press</w:t>
      </w:r>
      <w:r>
        <w:t xml:space="preserve">.</w:t>
      </w:r>
    </w:p>
    <w:bookmarkEnd w:id="207"/>
    <w:bookmarkStart w:id="208" w:name="ref-rcoreteam20"/>
    <w:p>
      <w:pPr>
        <w:pStyle w:val="Bibliography"/>
      </w:pPr>
      <w:r>
        <w:t xml:space="preserve">R Core Team (2020).</w:t>
      </w:r>
      <w:r>
        <w:t xml:space="preserve"> </w:t>
      </w:r>
      <w:r>
        <w:rPr>
          <w:i/>
          <w:iCs/>
        </w:rPr>
        <w:t xml:space="preserve">R:</w:t>
      </w:r>
      <w:r>
        <w:rPr>
          <w:i/>
          <w:iCs/>
        </w:rPr>
        <w:t xml:space="preserve"> </w:t>
      </w:r>
      <w:r>
        <w:rPr>
          <w:i/>
          <w:iCs/>
        </w:rPr>
        <w:t xml:space="preserve">A Language</w:t>
      </w:r>
      <w:r>
        <w:rPr>
          <w:i/>
          <w:iCs/>
        </w:rPr>
        <w:t xml:space="preserve"> </w:t>
      </w:r>
      <w:r>
        <w:rPr>
          <w:i/>
          <w:iCs/>
        </w:rPr>
        <w:t xml:space="preserve">and</w:t>
      </w:r>
      <w:r>
        <w:rPr>
          <w:i/>
          <w:iCs/>
        </w:rPr>
        <w:t xml:space="preserve"> </w:t>
      </w:r>
      <w:r>
        <w:rPr>
          <w:i/>
          <w:iCs/>
        </w:rPr>
        <w:t xml:space="preserve">Environment</w:t>
      </w:r>
      <w:r>
        <w:rPr>
          <w:i/>
          <w:iCs/>
        </w:rPr>
        <w:t xml:space="preserve"> </w:t>
      </w:r>
      <w:r>
        <w:rPr>
          <w:i/>
          <w:iCs/>
        </w:rPr>
        <w:t xml:space="preserve">for</w:t>
      </w:r>
      <w:r>
        <w:rPr>
          <w:i/>
          <w:iCs/>
        </w:rPr>
        <w:t xml:space="preserve"> </w:t>
      </w:r>
      <w:r>
        <w:rPr>
          <w:i/>
          <w:iCs/>
        </w:rPr>
        <w:t xml:space="preserve">Statistical Computing</w:t>
      </w:r>
      <w:r>
        <w:t xml:space="preserve">.</w:t>
      </w:r>
      <w:r>
        <w:t xml:space="preserve"> </w:t>
      </w:r>
      <w:r>
        <w:t xml:space="preserve">Vienna, Austria</w:t>
      </w:r>
      <w:r>
        <w:t xml:space="preserve">:</w:t>
      </w:r>
      <w:r>
        <w:t xml:space="preserve"> </w:t>
      </w:r>
      <w:r>
        <w:t xml:space="preserve">R Foundation for Statistical Computing</w:t>
      </w:r>
      <w:r>
        <w:t xml:space="preserve">.</w:t>
      </w:r>
    </w:p>
    <w:bookmarkEnd w:id="208"/>
    <w:bookmarkStart w:id="210" w:name="ref-reitsemaetal2013"/>
    <w:p>
      <w:pPr>
        <w:pStyle w:val="Bibliography"/>
      </w:pPr>
      <w:r>
        <w:t xml:space="preserve">Reitsema, L. J., Kozłowski, T., and Makowiecki, D. (2013). Human–environment interactions in medieval</w:t>
      </w:r>
      <w:r>
        <w:t xml:space="preserve"> </w:t>
      </w:r>
      <w:r>
        <w:t xml:space="preserve">Poland</w:t>
      </w:r>
      <w:r>
        <w:t xml:space="preserve">: A perspective from the analysis of faunal stable isotope ratios.</w:t>
      </w:r>
      <w:r>
        <w:t xml:space="preserve"> </w:t>
      </w:r>
      <w:r>
        <w:rPr>
          <w:i/>
          <w:iCs/>
        </w:rPr>
        <w:t xml:space="preserve">Journal of Archaeological Science</w:t>
      </w:r>
      <w:r>
        <w:t xml:space="preserve"> </w:t>
      </w:r>
      <w:r>
        <w:t xml:space="preserve">40, 3636–3646. doi:</w:t>
      </w:r>
      <w:r>
        <w:t xml:space="preserve"> </w:t>
      </w:r>
      <w:hyperlink r:id="rId209">
        <w:r>
          <w:rPr>
            <w:rStyle w:val="Hyperlink"/>
          </w:rPr>
          <w:t xml:space="preserve">10.1016/j.jas.2013.04.015</w:t>
        </w:r>
      </w:hyperlink>
    </w:p>
    <w:bookmarkEnd w:id="210"/>
    <w:bookmarkStart w:id="211" w:name="ref-renzi_etal12"/>
    <w:p>
      <w:pPr>
        <w:pStyle w:val="Bibliography"/>
      </w:pPr>
      <w:r>
        <w:t xml:space="preserve">Renzi, M., Rovira Llorens, S., and Montero Ruiz, I. (2012). Riflessioni sulla metallurgia fenicia dell’argento nella</w:t>
      </w:r>
      <w:r>
        <w:t xml:space="preserve"> </w:t>
      </w:r>
      <w:r>
        <w:t xml:space="preserve">Penisola Iberica</w:t>
      </w:r>
      <w:r>
        <w:t xml:space="preserve">.</w:t>
      </w:r>
    </w:p>
    <w:bookmarkEnd w:id="211"/>
    <w:bookmarkStart w:id="213" w:name="ref-richards_hedges99"/>
    <w:p>
      <w:pPr>
        <w:pStyle w:val="Bibliography"/>
      </w:pPr>
      <w:r>
        <w:t xml:space="preserve">Richards, M. P., and Hedges, R. E. M. (1999). Stable</w:t>
      </w:r>
      <w:r>
        <w:t xml:space="preserve"> </w:t>
      </w:r>
      <w:r>
        <w:t xml:space="preserve">Isotope Evidence</w:t>
      </w:r>
      <w:r>
        <w:t xml:space="preserve"> </w:t>
      </w:r>
      <w:r>
        <w:t xml:space="preserve">for</w:t>
      </w:r>
      <w:r>
        <w:t xml:space="preserve"> </w:t>
      </w:r>
      <w:r>
        <w:t xml:space="preserve">Similarities</w:t>
      </w:r>
      <w:r>
        <w:t xml:space="preserve"> </w:t>
      </w:r>
      <w:r>
        <w:t xml:space="preserve">in the</w:t>
      </w:r>
      <w:r>
        <w:t xml:space="preserve"> </w:t>
      </w:r>
      <w:r>
        <w:t xml:space="preserve">Types</w:t>
      </w:r>
      <w:r>
        <w:t xml:space="preserve"> </w:t>
      </w:r>
      <w:r>
        <w:t xml:space="preserve">of</w:t>
      </w:r>
      <w:r>
        <w:t xml:space="preserve"> </w:t>
      </w:r>
      <w:r>
        <w:t xml:space="preserve">Marine Foods Used</w:t>
      </w:r>
      <w:r>
        <w:t xml:space="preserve"> </w:t>
      </w:r>
      <w:r>
        <w:t xml:space="preserve">by</w:t>
      </w:r>
      <w:r>
        <w:t xml:space="preserve"> </w:t>
      </w:r>
      <w:r>
        <w:t xml:space="preserve">Late Mesolithic Humans</w:t>
      </w:r>
      <w:r>
        <w:t xml:space="preserve"> </w:t>
      </w:r>
      <w:r>
        <w:t xml:space="preserve">at</w:t>
      </w:r>
      <w:r>
        <w:t xml:space="preserve"> </w:t>
      </w:r>
      <w:r>
        <w:t xml:space="preserve">Sites Along</w:t>
      </w:r>
      <w:r>
        <w:t xml:space="preserve"> </w:t>
      </w:r>
      <w:r>
        <w:t xml:space="preserve">the</w:t>
      </w:r>
      <w:r>
        <w:t xml:space="preserve"> </w:t>
      </w:r>
      <w:r>
        <w:t xml:space="preserve">Atlantic Coast</w:t>
      </w:r>
      <w:r>
        <w:t xml:space="preserve"> </w:t>
      </w:r>
      <w:r>
        <w:t xml:space="preserve">of</w:t>
      </w:r>
      <w:r>
        <w:t xml:space="preserve"> </w:t>
      </w:r>
      <w:r>
        <w:t xml:space="preserve">Europe</w:t>
      </w:r>
      <w:r>
        <w:t xml:space="preserve">.</w:t>
      </w:r>
      <w:r>
        <w:t xml:space="preserve"> </w:t>
      </w:r>
      <w:r>
        <w:rPr>
          <w:i/>
          <w:iCs/>
        </w:rPr>
        <w:t xml:space="preserve">Journal of Archaeological Science</w:t>
      </w:r>
      <w:r>
        <w:t xml:space="preserve"> </w:t>
      </w:r>
      <w:r>
        <w:t xml:space="preserve">26, 717–722. doi:</w:t>
      </w:r>
      <w:r>
        <w:t xml:space="preserve"> </w:t>
      </w:r>
      <w:hyperlink r:id="rId212">
        <w:r>
          <w:rPr>
            <w:rStyle w:val="Hyperlink"/>
          </w:rPr>
          <w:t xml:space="preserve">10.1006/jasc.1998.0387</w:t>
        </w:r>
      </w:hyperlink>
    </w:p>
    <w:bookmarkEnd w:id="213"/>
    <w:bookmarkStart w:id="215" w:name="ref-riehl09"/>
    <w:p>
      <w:pPr>
        <w:pStyle w:val="Bibliography"/>
      </w:pPr>
      <w:r>
        <w:t xml:space="preserve">Riehl, S. (2009). Archaeobotanical evidence for the interrelationship of agricultural decision-making and climate change in the ancient</w:t>
      </w:r>
      <w:r>
        <w:t xml:space="preserve"> </w:t>
      </w:r>
      <w:r>
        <w:t xml:space="preserve">Near East</w:t>
      </w:r>
      <w:r>
        <w:t xml:space="preserve">.</w:t>
      </w:r>
      <w:r>
        <w:t xml:space="preserve"> </w:t>
      </w:r>
      <w:r>
        <w:rPr>
          <w:i/>
          <w:iCs/>
        </w:rPr>
        <w:t xml:space="preserve">Quaternary International</w:t>
      </w:r>
      <w:r>
        <w:t xml:space="preserve"> </w:t>
      </w:r>
      <w:r>
        <w:t xml:space="preserve">197, 93–114. doi:</w:t>
      </w:r>
      <w:r>
        <w:t xml:space="preserve"> </w:t>
      </w:r>
      <w:hyperlink r:id="rId214">
        <w:r>
          <w:rPr>
            <w:rStyle w:val="Hyperlink"/>
          </w:rPr>
          <w:t xml:space="preserve">10.1016/j.quaint.2007.08.005</w:t>
        </w:r>
      </w:hyperlink>
    </w:p>
    <w:bookmarkEnd w:id="215"/>
    <w:bookmarkStart w:id="216" w:name="ref-roller14"/>
    <w:p>
      <w:pPr>
        <w:pStyle w:val="Bibliography"/>
      </w:pPr>
      <w:r>
        <w:t xml:space="preserve">Roller, D. W. (2014).</w:t>
      </w:r>
      <w:r>
        <w:t xml:space="preserve"> </w:t>
      </w:r>
      <w:r>
        <w:rPr>
          <w:i/>
          <w:iCs/>
        </w:rPr>
        <w:t xml:space="preserve">The geography of</w:t>
      </w:r>
      <w:r>
        <w:rPr>
          <w:i/>
          <w:iCs/>
        </w:rPr>
        <w:t xml:space="preserve"> </w:t>
      </w:r>
      <w:r>
        <w:rPr>
          <w:i/>
          <w:iCs/>
        </w:rPr>
        <w:t xml:space="preserve">Strabo</w:t>
      </w:r>
      <w:r>
        <w:rPr>
          <w:i/>
          <w:iCs/>
        </w:rPr>
        <w:t xml:space="preserve">:</w:t>
      </w:r>
      <w:r>
        <w:rPr>
          <w:i/>
          <w:iCs/>
        </w:rPr>
        <w:t xml:space="preserve"> </w:t>
      </w:r>
      <w:r>
        <w:rPr>
          <w:i/>
          <w:iCs/>
        </w:rPr>
        <w:t xml:space="preserve">An English</w:t>
      </w:r>
      <w:r>
        <w:rPr>
          <w:i/>
          <w:iCs/>
        </w:rPr>
        <w:t xml:space="preserve"> </w:t>
      </w:r>
      <w:r>
        <w:rPr>
          <w:i/>
          <w:iCs/>
        </w:rPr>
        <w:t xml:space="preserve">translation, with introduction and notes</w:t>
      </w:r>
      <w:r>
        <w:t xml:space="preserve">.</w:t>
      </w:r>
      <w:r>
        <w:t xml:space="preserve"> </w:t>
      </w:r>
      <w:r>
        <w:t xml:space="preserve">Cambridge University Press</w:t>
      </w:r>
      <w:r>
        <w:t xml:space="preserve">.</w:t>
      </w:r>
    </w:p>
    <w:bookmarkEnd w:id="216"/>
    <w:bookmarkStart w:id="217" w:name="ref-rutter02"/>
    <w:p>
      <w:pPr>
        <w:pStyle w:val="Bibliography"/>
      </w:pPr>
      <w:r>
        <w:t xml:space="preserve">Rutter, S. M. (2002).</w:t>
      </w:r>
      <w:r>
        <w:t xml:space="preserve"> </w:t>
      </w:r>
      <w:r>
        <w:t xml:space="preserve">“Behaviour of</w:t>
      </w:r>
      <w:r>
        <w:t xml:space="preserve"> </w:t>
      </w:r>
      <w:r>
        <w:t xml:space="preserve">Sheep</w:t>
      </w:r>
      <w:r>
        <w:t xml:space="preserve"> </w:t>
      </w:r>
      <w:r>
        <w:t xml:space="preserve">and</w:t>
      </w:r>
      <w:r>
        <w:t xml:space="preserve"> </w:t>
      </w:r>
      <w:r>
        <w:t xml:space="preserve">Goats</w:t>
      </w:r>
      <w:r>
        <w:t xml:space="preserve">,”</w:t>
      </w:r>
      <w:r>
        <w:t xml:space="preserve"> </w:t>
      </w:r>
      <w:r>
        <w:t xml:space="preserve">in</w:t>
      </w:r>
      <w:r>
        <w:t xml:space="preserve"> </w:t>
      </w:r>
      <w:r>
        <w:rPr>
          <w:i/>
          <w:iCs/>
        </w:rPr>
        <w:t xml:space="preserve">The ethology of domestic animals:</w:t>
      </w:r>
      <w:r>
        <w:rPr>
          <w:i/>
          <w:iCs/>
        </w:rPr>
        <w:t xml:space="preserve"> </w:t>
      </w:r>
      <w:r>
        <w:rPr>
          <w:i/>
          <w:iCs/>
        </w:rPr>
        <w:t xml:space="preserve">An</w:t>
      </w:r>
      <w:r>
        <w:rPr>
          <w:i/>
          <w:iCs/>
        </w:rPr>
        <w:t xml:space="preserve"> </w:t>
      </w:r>
      <w:r>
        <w:rPr>
          <w:i/>
          <w:iCs/>
        </w:rPr>
        <w:t xml:space="preserve">introductory text</w:t>
      </w:r>
      <w:r>
        <w:t xml:space="preserve">, 148–155.</w:t>
      </w:r>
    </w:p>
    <w:bookmarkEnd w:id="217"/>
    <w:bookmarkStart w:id="219" w:name="ref-schoeninger85"/>
    <w:p>
      <w:pPr>
        <w:pStyle w:val="Bibliography"/>
      </w:pPr>
      <w:r>
        <w:t xml:space="preserve">Schoeninger, M. J. (1985). Trophic level effects on</w:t>
      </w:r>
      <w:r>
        <w:t xml:space="preserve"> </w:t>
      </w:r>
      <w:r>
        <w:t xml:space="preserve">15N</w:t>
      </w:r>
      <w:r>
        <w:t xml:space="preserve">/</w:t>
      </w:r>
      <w:r>
        <w:t xml:space="preserve">14N</w:t>
      </w:r>
      <w:r>
        <w:t xml:space="preserve"> </w:t>
      </w:r>
      <w:r>
        <w:t xml:space="preserve">and</w:t>
      </w:r>
      <w:r>
        <w:t xml:space="preserve"> </w:t>
      </w:r>
      <w:r>
        <w:t xml:space="preserve">13C</w:t>
      </w:r>
      <w:r>
        <w:t xml:space="preserve">/</w:t>
      </w:r>
      <w:r>
        <w:t xml:space="preserve">12C</w:t>
      </w:r>
      <w:r>
        <w:t xml:space="preserve"> </w:t>
      </w:r>
      <w:r>
        <w:t xml:space="preserve">ratios in bone collagen and strontium levels in bone mineral.</w:t>
      </w:r>
      <w:r>
        <w:t xml:space="preserve"> </w:t>
      </w:r>
      <w:r>
        <w:rPr>
          <w:i/>
          <w:iCs/>
        </w:rPr>
        <w:t xml:space="preserve">Journal of Human Evolution</w:t>
      </w:r>
      <w:r>
        <w:t xml:space="preserve"> </w:t>
      </w:r>
      <w:r>
        <w:t xml:space="preserve">14, 515–525. doi:</w:t>
      </w:r>
      <w:r>
        <w:t xml:space="preserve"> </w:t>
      </w:r>
      <w:hyperlink r:id="rId218">
        <w:r>
          <w:rPr>
            <w:rStyle w:val="Hyperlink"/>
          </w:rPr>
          <w:t xml:space="preserve">10.1016/S0047-2484(85)80030-0</w:t>
        </w:r>
      </w:hyperlink>
    </w:p>
    <w:bookmarkEnd w:id="219"/>
    <w:bookmarkStart w:id="220" w:name="ref-schramm67"/>
    <w:p>
      <w:pPr>
        <w:pStyle w:val="Bibliography"/>
      </w:pPr>
      <w:r>
        <w:t xml:space="preserve">Schramm, Z. (1967).</w:t>
      </w:r>
      <w:r>
        <w:t xml:space="preserve"> </w:t>
      </w:r>
      <w:r>
        <w:rPr>
          <w:i/>
          <w:iCs/>
        </w:rPr>
        <w:t xml:space="preserve">Morphological differences of some goat and sheep bones</w:t>
      </w:r>
      <w:r>
        <w:t xml:space="preserve">.</w:t>
      </w:r>
      <w:r>
        <w:t xml:space="preserve"> </w:t>
      </w:r>
      <w:r>
        <w:t xml:space="preserve">Wyższa Szkoła Rolnicza</w:t>
      </w:r>
      <w:r>
        <w:t xml:space="preserve">.</w:t>
      </w:r>
    </w:p>
    <w:bookmarkEnd w:id="220"/>
    <w:bookmarkStart w:id="222" w:name="ref-schulting_etal19"/>
    <w:p>
      <w:pPr>
        <w:pStyle w:val="Bibliography"/>
      </w:pPr>
      <w:r>
        <w:t xml:space="preserve">Schulting, R. J., le Roux, P., Gan, Y. M., Pouncett, J., Hamilton, J., Snoeck, C., et al. (2019). The ups &amp; downs of</w:t>
      </w:r>
      <w:r>
        <w:t xml:space="preserve"> </w:t>
      </w:r>
      <w:r>
        <w:t xml:space="preserve">Iron Age</w:t>
      </w:r>
      <w:r>
        <w:t xml:space="preserve"> </w:t>
      </w:r>
      <w:r>
        <w:t xml:space="preserve">animal management on the</w:t>
      </w:r>
      <w:r>
        <w:t xml:space="preserve"> </w:t>
      </w:r>
      <w:r>
        <w:t xml:space="preserve">Oxfordshire Ridgeway</w:t>
      </w:r>
      <w:r>
        <w:t xml:space="preserve">, south-central</w:t>
      </w:r>
      <w:r>
        <w:t xml:space="preserve"> </w:t>
      </w:r>
      <w:r>
        <w:t xml:space="preserve">England</w:t>
      </w:r>
      <w:r>
        <w:t xml:space="preserve">:</w:t>
      </w:r>
      <w:r>
        <w:t xml:space="preserve"> </w:t>
      </w:r>
      <w:r>
        <w:t xml:space="preserve">A</w:t>
      </w:r>
      <w:r>
        <w:t xml:space="preserve"> </w:t>
      </w:r>
      <w:r>
        <w:t xml:space="preserve">multi-isotope approach.</w:t>
      </w:r>
      <w:r>
        <w:t xml:space="preserve"> </w:t>
      </w:r>
      <w:r>
        <w:rPr>
          <w:i/>
          <w:iCs/>
        </w:rPr>
        <w:t xml:space="preserve">Journal of Archaeological Science</w:t>
      </w:r>
      <w:r>
        <w:t xml:space="preserve"> </w:t>
      </w:r>
      <w:r>
        <w:t xml:space="preserve">101, 199–212. doi:</w:t>
      </w:r>
      <w:r>
        <w:t xml:space="preserve"> </w:t>
      </w:r>
      <w:hyperlink r:id="rId221">
        <w:r>
          <w:rPr>
            <w:rStyle w:val="Hyperlink"/>
          </w:rPr>
          <w:t xml:space="preserve">10.1016/j.jas.2018.09.006</w:t>
        </w:r>
      </w:hyperlink>
    </w:p>
    <w:bookmarkEnd w:id="222"/>
    <w:bookmarkStart w:id="223" w:name="ref-semmler90"/>
    <w:p>
      <w:pPr>
        <w:pStyle w:val="Bibliography"/>
      </w:pPr>
      <w:r>
        <w:t xml:space="preserve">Semmler, M. E. A. (1990). Cerro del</w:t>
      </w:r>
      <w:r>
        <w:t xml:space="preserve"> </w:t>
      </w:r>
      <w:r>
        <w:t xml:space="preserve">Villar</w:t>
      </w:r>
      <w:r>
        <w:t xml:space="preserve"> </w:t>
      </w:r>
      <w:r>
        <w:t xml:space="preserve">1987.</w:t>
      </w:r>
      <w:r>
        <w:t xml:space="preserve"> </w:t>
      </w:r>
      <w:r>
        <w:t xml:space="preserve">Informe</w:t>
      </w:r>
      <w:r>
        <w:t xml:space="preserve"> </w:t>
      </w:r>
      <w:r>
        <w:t xml:space="preserve">de la primera campaña de excavaciones en el asentamiento fenicio de la desembocadura del río</w:t>
      </w:r>
      <w:r>
        <w:t xml:space="preserve"> </w:t>
      </w:r>
      <w:r>
        <w:t xml:space="preserve">Guadalhorce</w:t>
      </w:r>
      <w:r>
        <w:t xml:space="preserve"> </w:t>
      </w:r>
      <w:r>
        <w:t xml:space="preserve">(</w:t>
      </w:r>
      <w:r>
        <w:t xml:space="preserve">Málaga</w:t>
      </w:r>
      <w:r>
        <w:t xml:space="preserve">)., in</w:t>
      </w:r>
      <w:r>
        <w:t xml:space="preserve"> </w:t>
      </w:r>
      <w:r>
        <w:rPr>
          <w:i/>
          <w:iCs/>
        </w:rPr>
        <w:t xml:space="preserve">Anuario arqueológico de</w:t>
      </w:r>
      <w:r>
        <w:rPr>
          <w:i/>
          <w:iCs/>
        </w:rPr>
        <w:t xml:space="preserve"> </w:t>
      </w:r>
      <w:r>
        <w:rPr>
          <w:i/>
          <w:iCs/>
        </w:rPr>
        <w:t xml:space="preserve">Andalucía</w:t>
      </w:r>
      <w:r>
        <w:rPr>
          <w:i/>
          <w:iCs/>
        </w:rPr>
        <w:t xml:space="preserve"> </w:t>
      </w:r>
      <w:r>
        <w:rPr>
          <w:i/>
          <w:iCs/>
        </w:rPr>
        <w:t xml:space="preserve">1987</w:t>
      </w:r>
      <w:r>
        <w:t xml:space="preserve">, 310–316.</w:t>
      </w:r>
    </w:p>
    <w:bookmarkEnd w:id="223"/>
    <w:bookmarkStart w:id="224" w:name="ref-semmler92"/>
    <w:p>
      <w:pPr>
        <w:pStyle w:val="Bibliography"/>
      </w:pPr>
      <w:r>
        <w:t xml:space="preserve">Semmler, M. E. A. (1992). Proyecto</w:t>
      </w:r>
      <w:r>
        <w:t xml:space="preserve"> </w:t>
      </w:r>
      <w:r>
        <w:t xml:space="preserve">Cerro</w:t>
      </w:r>
      <w:r>
        <w:t xml:space="preserve"> </w:t>
      </w:r>
      <w:r>
        <w:t xml:space="preserve">del</w:t>
      </w:r>
      <w:r>
        <w:t xml:space="preserve"> </w:t>
      </w:r>
      <w:r>
        <w:t xml:space="preserve">Villar</w:t>
      </w:r>
      <w:r>
        <w:t xml:space="preserve"> </w:t>
      </w:r>
      <w:r>
        <w:t xml:space="preserve">(</w:t>
      </w:r>
      <w:r>
        <w:t xml:space="preserve">Guadalhorce</w:t>
      </w:r>
      <w:r>
        <w:t xml:space="preserve">,</w:t>
      </w:r>
      <w:r>
        <w:t xml:space="preserve"> </w:t>
      </w:r>
      <w:r>
        <w:t xml:space="preserve">Málaga</w:t>
      </w:r>
      <w:r>
        <w:t xml:space="preserve">): Estudio de materiales 1990., in</w:t>
      </w:r>
      <w:r>
        <w:t xml:space="preserve"> </w:t>
      </w:r>
      <w:r>
        <w:rPr>
          <w:i/>
          <w:iCs/>
        </w:rPr>
        <w:t xml:space="preserve">Anuario arqueológico de</w:t>
      </w:r>
      <w:r>
        <w:rPr>
          <w:i/>
          <w:iCs/>
        </w:rPr>
        <w:t xml:space="preserve"> </w:t>
      </w:r>
      <w:r>
        <w:rPr>
          <w:i/>
          <w:iCs/>
        </w:rPr>
        <w:t xml:space="preserve">Andalucía</w:t>
      </w:r>
      <w:r>
        <w:rPr>
          <w:i/>
          <w:iCs/>
        </w:rPr>
        <w:t xml:space="preserve"> </w:t>
      </w:r>
      <w:r>
        <w:rPr>
          <w:i/>
          <w:iCs/>
        </w:rPr>
        <w:t xml:space="preserve">1990</w:t>
      </w:r>
      <w:r>
        <w:t xml:space="preserve">, 304–306.</w:t>
      </w:r>
    </w:p>
    <w:bookmarkEnd w:id="224"/>
    <w:bookmarkStart w:id="225" w:name="ref-smithepstein1970"/>
    <w:p>
      <w:pPr>
        <w:pStyle w:val="Bibliography"/>
      </w:pPr>
      <w:r>
        <w:t xml:space="preserve">Smith, B. N., and Epstein, S. (1970). Biogeochemistry of the stable isotopes of hydrogen and carbon in salt marsh biota.</w:t>
      </w:r>
      <w:r>
        <w:t xml:space="preserve"> </w:t>
      </w:r>
      <w:r>
        <w:rPr>
          <w:i/>
          <w:iCs/>
        </w:rPr>
        <w:t xml:space="preserve">Plant physiology</w:t>
      </w:r>
      <w:r>
        <w:t xml:space="preserve"> </w:t>
      </w:r>
      <w:r>
        <w:t xml:space="preserve">46, 738–742.</w:t>
      </w:r>
    </w:p>
    <w:bookmarkEnd w:id="225"/>
    <w:bookmarkStart w:id="226" w:name="ref-sousa19"/>
    <w:p>
      <w:pPr>
        <w:pStyle w:val="Bibliography"/>
      </w:pPr>
      <w:r>
        <w:t xml:space="preserve">Sousa, E. de (2019). The use of"</w:t>
      </w:r>
      <w:r>
        <w:t xml:space="preserve"> </w:t>
      </w:r>
      <w:r>
        <w:t xml:space="preserve">Kouass Ware</w:t>
      </w:r>
      <w:r>
        <w:t xml:space="preserve">" during the</w:t>
      </w:r>
      <w:r>
        <w:t xml:space="preserve"> </w:t>
      </w:r>
      <w:r>
        <w:t xml:space="preserve">Republican Period</w:t>
      </w:r>
      <w:r>
        <w:t xml:space="preserve"> </w:t>
      </w:r>
      <w:r>
        <w:t xml:space="preserve">in the</w:t>
      </w:r>
      <w:r>
        <w:t xml:space="preserve"> </w:t>
      </w:r>
      <w:r>
        <w:t xml:space="preserve">Algarve</w:t>
      </w:r>
      <w:r>
        <w:t xml:space="preserve"> </w:t>
      </w:r>
      <w:r>
        <w:t xml:space="preserve">(</w:t>
      </w:r>
      <w:r>
        <w:t xml:space="preserve">Portugal</w:t>
      </w:r>
      <w:r>
        <w:t xml:space="preserve">).</w:t>
      </w:r>
      <w:r>
        <w:t xml:space="preserve"> </w:t>
      </w:r>
      <w:r>
        <w:rPr>
          <w:i/>
          <w:iCs/>
        </w:rPr>
        <w:t xml:space="preserve">Rei Cretariae Romanae Fautorum Acta 41</w:t>
      </w:r>
      <w:r>
        <w:t xml:space="preserve"> </w:t>
      </w:r>
      <w:r>
        <w:t xml:space="preserve">41, 523–528.</w:t>
      </w:r>
    </w:p>
    <w:bookmarkEnd w:id="226"/>
    <w:bookmarkStart w:id="228" w:name="ref-strohalm_etal10"/>
    <w:p>
      <w:pPr>
        <w:pStyle w:val="Bibliography"/>
      </w:pPr>
      <w:r>
        <w:t xml:space="preserve">Strohalm, M., Kavan, D., Novák, P., Volný, M., and Havlíček, V. (2010).</w:t>
      </w:r>
      <w:r>
        <w:t xml:space="preserve"> </w:t>
      </w:r>
      <w:r>
        <w:t xml:space="preserve">mMass</w:t>
      </w:r>
      <w:r>
        <w:t xml:space="preserve"> </w:t>
      </w:r>
      <w:r>
        <w:t xml:space="preserve">3:</w:t>
      </w:r>
      <w:r>
        <w:t xml:space="preserve"> </w:t>
      </w:r>
      <w:r>
        <w:t xml:space="preserve">A Cross-Platform Software Environment</w:t>
      </w:r>
      <w:r>
        <w:t xml:space="preserve"> </w:t>
      </w:r>
      <w:r>
        <w:t xml:space="preserve">for</w:t>
      </w:r>
      <w:r>
        <w:t xml:space="preserve"> </w:t>
      </w:r>
      <w:r>
        <w:t xml:space="preserve">Precise Analysis</w:t>
      </w:r>
      <w:r>
        <w:t xml:space="preserve"> </w:t>
      </w:r>
      <w:r>
        <w:t xml:space="preserve">of</w:t>
      </w:r>
      <w:r>
        <w:t xml:space="preserve"> </w:t>
      </w:r>
      <w:r>
        <w:t xml:space="preserve">Mass Spectrometric Data</w:t>
      </w:r>
      <w:r>
        <w:t xml:space="preserve">.</w:t>
      </w:r>
      <w:r>
        <w:t xml:space="preserve"> </w:t>
      </w:r>
      <w:r>
        <w:rPr>
          <w:i/>
          <w:iCs/>
        </w:rPr>
        <w:t xml:space="preserve">Anal. Chem.</w:t>
      </w:r>
      <w:r>
        <w:t xml:space="preserve"> </w:t>
      </w:r>
      <w:r>
        <w:t xml:space="preserve">82, 4648–4651. doi:</w:t>
      </w:r>
      <w:r>
        <w:t xml:space="preserve"> </w:t>
      </w:r>
      <w:hyperlink r:id="rId227">
        <w:r>
          <w:rPr>
            <w:rStyle w:val="Hyperlink"/>
          </w:rPr>
          <w:t xml:space="preserve">10.1021/ac100818g</w:t>
        </w:r>
      </w:hyperlink>
    </w:p>
    <w:bookmarkEnd w:id="228"/>
    <w:bookmarkStart w:id="230" w:name="ref-sturtevant86"/>
    <w:p>
      <w:pPr>
        <w:pStyle w:val="Bibliography"/>
      </w:pPr>
      <w:r>
        <w:t xml:space="preserve">Sturtevant, E. L. (1886). History of</w:t>
      </w:r>
      <w:r>
        <w:t xml:space="preserve"> </w:t>
      </w:r>
      <w:r>
        <w:t xml:space="preserve">Celery</w:t>
      </w:r>
      <w:r>
        <w:t xml:space="preserve">.</w:t>
      </w:r>
      <w:r>
        <w:t xml:space="preserve"> </w:t>
      </w:r>
      <w:r>
        <w:rPr>
          <w:i/>
          <w:iCs/>
        </w:rPr>
        <w:t xml:space="preserve">The American Naturalist</w:t>
      </w:r>
      <w:r>
        <w:t xml:space="preserve"> </w:t>
      </w:r>
      <w:r>
        <w:t xml:space="preserve">20, 599–606. doi:</w:t>
      </w:r>
      <w:r>
        <w:t xml:space="preserve"> </w:t>
      </w:r>
      <w:hyperlink r:id="rId229">
        <w:r>
          <w:rPr>
            <w:rStyle w:val="Hyperlink"/>
          </w:rPr>
          <w:t xml:space="preserve">10.1086/274288</w:t>
        </w:r>
      </w:hyperlink>
    </w:p>
    <w:bookmarkEnd w:id="230"/>
    <w:bookmarkStart w:id="232" w:name="ref-styring_etal17"/>
    <w:p>
      <w:pPr>
        <w:pStyle w:val="Bibliography"/>
      </w:pPr>
      <w:r>
        <w:t xml:space="preserve">Styring, A., Rösch, M., Stephan, E., Stika, H.-P., Fischer, E., Sillmann, M., et al. (2017). Centralisation and long-term change in farming regimes:</w:t>
      </w:r>
      <w:r>
        <w:t xml:space="preserve"> </w:t>
      </w:r>
      <w:r>
        <w:t xml:space="preserve">Comparing</w:t>
      </w:r>
      <w:r>
        <w:t xml:space="preserve"> </w:t>
      </w:r>
      <w:r>
        <w:t xml:space="preserve">agricultural practices in</w:t>
      </w:r>
      <w:r>
        <w:t xml:space="preserve"> </w:t>
      </w:r>
      <w:r>
        <w:t xml:space="preserve">Neolithic</w:t>
      </w:r>
      <w:r>
        <w:t xml:space="preserve"> </w:t>
      </w:r>
      <w:r>
        <w:t xml:space="preserve">and</w:t>
      </w:r>
      <w:r>
        <w:t xml:space="preserve"> </w:t>
      </w:r>
      <w:r>
        <w:t xml:space="preserve">Iron Age</w:t>
      </w:r>
      <w:r>
        <w:t xml:space="preserve"> </w:t>
      </w:r>
      <w:r>
        <w:t xml:space="preserve">south-west</w:t>
      </w:r>
      <w:r>
        <w:t xml:space="preserve"> </w:t>
      </w:r>
      <w:r>
        <w:t xml:space="preserve">Germany</w:t>
      </w:r>
      <w:r>
        <w:t xml:space="preserve">.</w:t>
      </w:r>
      <w:r>
        <w:t xml:space="preserve"> </w:t>
      </w:r>
      <w:r>
        <w:rPr>
          <w:i/>
          <w:iCs/>
        </w:rPr>
        <w:t xml:space="preserve">Proc. Prehist. Soc.</w:t>
      </w:r>
      <w:r>
        <w:t xml:space="preserve"> </w:t>
      </w:r>
      <w:r>
        <w:t xml:space="preserve">83, 357–381. doi:</w:t>
      </w:r>
      <w:r>
        <w:t xml:space="preserve"> </w:t>
      </w:r>
      <w:hyperlink r:id="rId231">
        <w:r>
          <w:rPr>
            <w:rStyle w:val="Hyperlink"/>
          </w:rPr>
          <w:t xml:space="preserve">10.1017/ppr.2017.3</w:t>
        </w:r>
      </w:hyperlink>
    </w:p>
    <w:bookmarkEnd w:id="232"/>
    <w:bookmarkStart w:id="234" w:name="ref-tieszen91"/>
    <w:p>
      <w:pPr>
        <w:pStyle w:val="Bibliography"/>
      </w:pPr>
      <w:r>
        <w:t xml:space="preserve">Tieszen, L. L. (1991). Natural variations in the carbon isotope values of plants:</w:t>
      </w:r>
      <w:r>
        <w:t xml:space="preserve"> </w:t>
      </w:r>
      <w:r>
        <w:t xml:space="preserve">Implications</w:t>
      </w:r>
      <w:r>
        <w:t xml:space="preserve"> </w:t>
      </w:r>
      <w:r>
        <w:t xml:space="preserve">for archaeology, ecology, and paleoecology.</w:t>
      </w:r>
      <w:r>
        <w:t xml:space="preserve"> </w:t>
      </w:r>
      <w:r>
        <w:rPr>
          <w:i/>
          <w:iCs/>
        </w:rPr>
        <w:t xml:space="preserve">Journal of Archaeological Science</w:t>
      </w:r>
      <w:r>
        <w:t xml:space="preserve"> </w:t>
      </w:r>
      <w:r>
        <w:t xml:space="preserve">18, 227–248. doi:</w:t>
      </w:r>
      <w:r>
        <w:t xml:space="preserve"> </w:t>
      </w:r>
      <w:hyperlink r:id="rId233">
        <w:r>
          <w:rPr>
            <w:rStyle w:val="Hyperlink"/>
          </w:rPr>
          <w:t xml:space="preserve">10.1016/0305-4403(91)90063-U</w:t>
        </w:r>
      </w:hyperlink>
    </w:p>
    <w:bookmarkEnd w:id="234"/>
    <w:bookmarkStart w:id="236" w:name="ref-tobyn_etal11"/>
    <w:p>
      <w:pPr>
        <w:pStyle w:val="Bibliography"/>
      </w:pPr>
      <w:r>
        <w:t xml:space="preserve">Tobyn, G., Denham, A., and Whitelegg, M. (2011).</w:t>
      </w:r>
      <w:r>
        <w:t xml:space="preserve"> </w:t>
      </w:r>
      <w:r>
        <w:t xml:space="preserve">“</w:t>
      </w:r>
      <w:r>
        <w:t xml:space="preserve">CHAPTER</w:t>
      </w:r>
      <w:r>
        <w:t xml:space="preserve"> </w:t>
      </w:r>
      <w:r>
        <w:t xml:space="preserve">9 -</w:t>
      </w:r>
      <w:r>
        <w:t xml:space="preserve"> </w:t>
      </w:r>
      <w:r>
        <w:t xml:space="preserve">Apium</w:t>
      </w:r>
      <w:r>
        <w:t xml:space="preserve"> </w:t>
      </w:r>
      <w:r>
        <w:t xml:space="preserve">graveolens, wild celery,”</w:t>
      </w:r>
      <w:r>
        <w:t xml:space="preserve"> </w:t>
      </w:r>
      <w:r>
        <w:t xml:space="preserve">in</w:t>
      </w:r>
      <w:r>
        <w:t xml:space="preserve"> </w:t>
      </w:r>
      <w:r>
        <w:rPr>
          <w:i/>
          <w:iCs/>
        </w:rPr>
        <w:t xml:space="preserve">Medical</w:t>
      </w:r>
      <w:r>
        <w:rPr>
          <w:i/>
          <w:iCs/>
        </w:rPr>
        <w:t xml:space="preserve"> </w:t>
      </w:r>
      <w:r>
        <w:rPr>
          <w:i/>
          <w:iCs/>
        </w:rPr>
        <w:t xml:space="preserve">Herbs</w:t>
      </w:r>
      <w:r>
        <w:t xml:space="preserve">, eds. G. Tobyn, A. Denham, and M. Whitelegg (</w:t>
      </w:r>
      <w:r>
        <w:t xml:space="preserve">Edinburgh</w:t>
      </w:r>
      <w:r>
        <w:t xml:space="preserve">:</w:t>
      </w:r>
      <w:r>
        <w:t xml:space="preserve"> </w:t>
      </w:r>
      <w:r>
        <w:t xml:space="preserve">Churchill Livingstone</w:t>
      </w:r>
      <w:r>
        <w:t xml:space="preserve">), 79–89. doi:</w:t>
      </w:r>
      <w:r>
        <w:t xml:space="preserve"> </w:t>
      </w:r>
      <w:hyperlink r:id="rId235">
        <w:r>
          <w:rPr>
            <w:rStyle w:val="Hyperlink"/>
          </w:rPr>
          <w:t xml:space="preserve">10.1016/B978-0-443-10344-5.00014-8</w:t>
        </w:r>
      </w:hyperlink>
    </w:p>
    <w:bookmarkEnd w:id="236"/>
    <w:bookmarkStart w:id="237" w:name="ref-treumann98"/>
    <w:p>
      <w:pPr>
        <w:pStyle w:val="Bibliography"/>
      </w:pPr>
      <w:r>
        <w:t xml:space="preserve">Treumann, B. (1998). The role of wood in the rise and decline of the</w:t>
      </w:r>
      <w:r>
        <w:t xml:space="preserve"> </w:t>
      </w:r>
      <w:r>
        <w:t xml:space="preserve">Phoenician</w:t>
      </w:r>
      <w:r>
        <w:t xml:space="preserve"> </w:t>
      </w:r>
      <w:r>
        <w:t xml:space="preserve">settlements on the</w:t>
      </w:r>
      <w:r>
        <w:t xml:space="preserve"> </w:t>
      </w:r>
      <w:r>
        <w:t xml:space="preserve">Iberian Peninsula</w:t>
      </w:r>
      <w:r>
        <w:t xml:space="preserve">.</w:t>
      </w:r>
    </w:p>
    <w:bookmarkEnd w:id="237"/>
    <w:bookmarkStart w:id="238" w:name="ref-treumann09"/>
    <w:p>
      <w:pPr>
        <w:pStyle w:val="Bibliography"/>
      </w:pPr>
      <w:r>
        <w:t xml:space="preserve">Treumann, B. (2009).</w:t>
      </w:r>
      <w:r>
        <w:t xml:space="preserve"> </w:t>
      </w:r>
      <w:r>
        <w:rPr>
          <w:i/>
          <w:iCs/>
        </w:rPr>
        <w:t xml:space="preserve">Lumbermen and</w:t>
      </w:r>
      <w:r>
        <w:rPr>
          <w:i/>
          <w:iCs/>
        </w:rPr>
        <w:t xml:space="preserve"> </w:t>
      </w:r>
      <w:r>
        <w:rPr>
          <w:i/>
          <w:iCs/>
        </w:rPr>
        <w:t xml:space="preserve">Shipwrights</w:t>
      </w:r>
      <w:r>
        <w:rPr>
          <w:i/>
          <w:iCs/>
        </w:rPr>
        <w:t xml:space="preserve">:</w:t>
      </w:r>
      <w:r>
        <w:rPr>
          <w:i/>
          <w:iCs/>
        </w:rPr>
        <w:t xml:space="preserve"> </w:t>
      </w:r>
      <w:r>
        <w:rPr>
          <w:i/>
          <w:iCs/>
        </w:rPr>
        <w:t xml:space="preserve">Phoenicians</w:t>
      </w:r>
      <w:r>
        <w:rPr>
          <w:i/>
          <w:iCs/>
        </w:rPr>
        <w:t xml:space="preserve"> </w:t>
      </w:r>
      <w:r>
        <w:rPr>
          <w:i/>
          <w:iCs/>
        </w:rPr>
        <w:t xml:space="preserve">on the</w:t>
      </w:r>
      <w:r>
        <w:rPr>
          <w:i/>
          <w:iCs/>
        </w:rPr>
        <w:t xml:space="preserve"> </w:t>
      </w:r>
      <w:r>
        <w:rPr>
          <w:i/>
          <w:iCs/>
        </w:rPr>
        <w:t xml:space="preserve">Mediterranean Coast</w:t>
      </w:r>
      <w:r>
        <w:rPr>
          <w:i/>
          <w:iCs/>
        </w:rPr>
        <w:t xml:space="preserve"> </w:t>
      </w:r>
      <w:r>
        <w:rPr>
          <w:i/>
          <w:iCs/>
        </w:rPr>
        <w:t xml:space="preserve">of</w:t>
      </w:r>
      <w:r>
        <w:rPr>
          <w:i/>
          <w:iCs/>
        </w:rPr>
        <w:t xml:space="preserve"> </w:t>
      </w:r>
      <w:r>
        <w:rPr>
          <w:i/>
          <w:iCs/>
        </w:rPr>
        <w:t xml:space="preserve">Southern Spain</w:t>
      </w:r>
      <w:r>
        <w:t xml:space="preserve">.</w:t>
      </w:r>
    </w:p>
    <w:bookmarkEnd w:id="238"/>
    <w:bookmarkStart w:id="239" w:name="ref-uriel00"/>
    <w:p>
      <w:pPr>
        <w:pStyle w:val="Bibliography"/>
      </w:pPr>
      <w:r>
        <w:t xml:space="preserve">Uriel, P. F. (2000). El comercio de la púrpura., in</w:t>
      </w:r>
      <w:r>
        <w:t xml:space="preserve"> </w:t>
      </w:r>
      <w:r>
        <w:rPr>
          <w:i/>
          <w:iCs/>
        </w:rPr>
        <w:t xml:space="preserve">Intercambio y comercio preclásico en el</w:t>
      </w:r>
      <w:r>
        <w:rPr>
          <w:i/>
          <w:iCs/>
        </w:rPr>
        <w:t xml:space="preserve"> </w:t>
      </w:r>
      <w:r>
        <w:rPr>
          <w:i/>
          <w:iCs/>
        </w:rPr>
        <w:t xml:space="preserve">Mediterráneo</w:t>
      </w:r>
      <w:r>
        <w:rPr>
          <w:i/>
          <w:iCs/>
        </w:rPr>
        <w:t xml:space="preserve">: Actas del</w:t>
      </w:r>
      <w:r>
        <w:rPr>
          <w:i/>
          <w:iCs/>
        </w:rPr>
        <w:t xml:space="preserve"> </w:t>
      </w:r>
      <w:r>
        <w:rPr>
          <w:i/>
          <w:iCs/>
        </w:rPr>
        <w:t xml:space="preserve">I</w:t>
      </w:r>
      <w:r>
        <w:rPr>
          <w:i/>
          <w:iCs/>
        </w:rPr>
        <w:t xml:space="preserve"> </w:t>
      </w:r>
      <w:r>
        <w:rPr>
          <w:i/>
          <w:iCs/>
        </w:rPr>
        <w:t xml:space="preserve">coloquio del</w:t>
      </w:r>
      <w:r>
        <w:rPr>
          <w:i/>
          <w:iCs/>
        </w:rPr>
        <w:t xml:space="preserve"> </w:t>
      </w:r>
      <w:r>
        <w:rPr>
          <w:i/>
          <w:iCs/>
        </w:rPr>
        <w:t xml:space="preserve">CEFYP</w:t>
      </w:r>
      <w:r>
        <w:rPr>
          <w:i/>
          <w:iCs/>
        </w:rPr>
        <w:t xml:space="preserve">,</w:t>
      </w:r>
      <w:r>
        <w:rPr>
          <w:i/>
          <w:iCs/>
        </w:rPr>
        <w:t xml:space="preserve"> </w:t>
      </w:r>
      <w:r>
        <w:rPr>
          <w:i/>
          <w:iCs/>
        </w:rPr>
        <w:t xml:space="preserve">Madrid</w:t>
      </w:r>
      <w:r>
        <w:rPr>
          <w:i/>
          <w:iCs/>
        </w:rPr>
        <w:t xml:space="preserve">, 9-12 de noviembre, 1998</w:t>
      </w:r>
      <w:r>
        <w:t xml:space="preserve">, (</w:t>
      </w:r>
      <w:r>
        <w:t xml:space="preserve">Centro de Estudios Fenicios y Púnicos</w:t>
      </w:r>
      <w:r>
        <w:t xml:space="preserve">), 271–280.</w:t>
      </w:r>
    </w:p>
    <w:bookmarkEnd w:id="239"/>
    <w:bookmarkStart w:id="241" w:name="ref-vandoorn_etal11"/>
    <w:p>
      <w:pPr>
        <w:pStyle w:val="Bibliography"/>
      </w:pPr>
      <w:r>
        <w:t xml:space="preserve">van Doorn, N. L., Hollund, H., and Collins, M. J. (2011). A novel and non-destructive approach for</w:t>
      </w:r>
      <w:r>
        <w:t xml:space="preserve"> </w:t>
      </w:r>
      <w:r>
        <w:t xml:space="preserve">ZooMS</w:t>
      </w:r>
      <w:r>
        <w:t xml:space="preserve"> </w:t>
      </w:r>
      <w:r>
        <w:t xml:space="preserve">analysis: Ammonium bicarbonate buffer extraction.</w:t>
      </w:r>
      <w:r>
        <w:t xml:space="preserve"> </w:t>
      </w:r>
      <w:r>
        <w:rPr>
          <w:i/>
          <w:iCs/>
        </w:rPr>
        <w:t xml:space="preserve">Archaeol Anthropol Sci</w:t>
      </w:r>
      <w:r>
        <w:t xml:space="preserve"> </w:t>
      </w:r>
      <w:r>
        <w:t xml:space="preserve">3, 281–289. doi:</w:t>
      </w:r>
      <w:r>
        <w:t xml:space="preserve"> </w:t>
      </w:r>
      <w:hyperlink r:id="rId240">
        <w:r>
          <w:rPr>
            <w:rStyle w:val="Hyperlink"/>
          </w:rPr>
          <w:t xml:space="preserve">10.1007/s12520-011-0067-y</w:t>
        </w:r>
      </w:hyperlink>
    </w:p>
    <w:bookmarkEnd w:id="241"/>
    <w:bookmarkStart w:id="243" w:name="ref-vanklinken99"/>
    <w:p>
      <w:pPr>
        <w:pStyle w:val="Bibliography"/>
      </w:pPr>
      <w:r>
        <w:t xml:space="preserve">van Klinken, G. J. (1999). Bone</w:t>
      </w:r>
      <w:r>
        <w:t xml:space="preserve"> </w:t>
      </w:r>
      <w:r>
        <w:t xml:space="preserve">Collagen Quality Indicators</w:t>
      </w:r>
      <w:r>
        <w:t xml:space="preserve"> </w:t>
      </w:r>
      <w:r>
        <w:t xml:space="preserve">for</w:t>
      </w:r>
      <w:r>
        <w:t xml:space="preserve"> </w:t>
      </w:r>
      <w:r>
        <w:t xml:space="preserve">Palaeodietary</w:t>
      </w:r>
      <w:r>
        <w:t xml:space="preserve"> </w:t>
      </w:r>
      <w:r>
        <w:t xml:space="preserve">and</w:t>
      </w:r>
      <w:r>
        <w:t xml:space="preserve"> </w:t>
      </w:r>
      <w:r>
        <w:t xml:space="preserve">Radiocarbon Measurements</w:t>
      </w:r>
      <w:r>
        <w:t xml:space="preserve">.</w:t>
      </w:r>
      <w:r>
        <w:t xml:space="preserve"> </w:t>
      </w:r>
      <w:r>
        <w:rPr>
          <w:i/>
          <w:iCs/>
        </w:rPr>
        <w:t xml:space="preserve">Journal of Archaeological Science</w:t>
      </w:r>
      <w:r>
        <w:t xml:space="preserve"> </w:t>
      </w:r>
      <w:r>
        <w:t xml:space="preserve">26, 687–695. doi:</w:t>
      </w:r>
      <w:r>
        <w:t xml:space="preserve"> </w:t>
      </w:r>
      <w:hyperlink r:id="rId242">
        <w:r>
          <w:rPr>
            <w:rStyle w:val="Hyperlink"/>
          </w:rPr>
          <w:t xml:space="preserve">10.1006/jasc.1998.0385</w:t>
        </w:r>
      </w:hyperlink>
    </w:p>
    <w:bookmarkEnd w:id="243"/>
    <w:bookmarkStart w:id="244" w:name="ref-vanleeuwaarden_janssen85"/>
    <w:p>
      <w:pPr>
        <w:pStyle w:val="Bibliography"/>
      </w:pPr>
      <w:r>
        <w:t xml:space="preserve">Van Leeuwaarden, W., and Janssen, C. R. (1985). A preliminary palynological study of peat deposits near an oppidum in the</w:t>
      </w:r>
      <w:r>
        <w:t xml:space="preserve"> </w:t>
      </w:r>
      <w:r>
        <w:t xml:space="preserve">Lower Tagus Valley</w:t>
      </w:r>
      <w:r>
        <w:t xml:space="preserve">,</w:t>
      </w:r>
      <w:r>
        <w:t xml:space="preserve"> </w:t>
      </w:r>
      <w:r>
        <w:t xml:space="preserve">Portugal</w:t>
      </w:r>
      <w:r>
        <w:t xml:space="preserve">., in</w:t>
      </w:r>
      <w:r>
        <w:t xml:space="preserve"> </w:t>
      </w:r>
      <w:r>
        <w:rPr>
          <w:i/>
          <w:iCs/>
        </w:rPr>
        <w:t xml:space="preserve">Actas</w:t>
      </w:r>
      <w:r>
        <w:t xml:space="preserve">, 225–236.</w:t>
      </w:r>
    </w:p>
    <w:bookmarkEnd w:id="244"/>
    <w:bookmarkStart w:id="246" w:name="ref-wachsmann_etal09"/>
    <w:p>
      <w:pPr>
        <w:pStyle w:val="Bibliography"/>
      </w:pPr>
      <w:r>
        <w:t xml:space="preserve">Wachsmann, S., Dunn, R. K., Hale, J. R., Hohlfelder, R. L., Conyers, L. B., Ernenwein, E. G., et al. (2009). The</w:t>
      </w:r>
      <w:r>
        <w:t xml:space="preserve"> </w:t>
      </w:r>
      <w:r>
        <w:t xml:space="preserve">Palaeo</w:t>
      </w:r>
      <w:r>
        <w:t xml:space="preserve">‐</w:t>
      </w:r>
      <w:r>
        <w:t xml:space="preserve">Environmental Contexts</w:t>
      </w:r>
      <w:r>
        <w:t xml:space="preserve"> </w:t>
      </w:r>
      <w:r>
        <w:t xml:space="preserve">of</w:t>
      </w:r>
      <w:r>
        <w:t xml:space="preserve"> </w:t>
      </w:r>
      <w:r>
        <w:t xml:space="preserve">Three Possible Phoenician Anchorages</w:t>
      </w:r>
      <w:r>
        <w:t xml:space="preserve"> </w:t>
      </w:r>
      <w:r>
        <w:t xml:space="preserve">in</w:t>
      </w:r>
      <w:r>
        <w:t xml:space="preserve"> </w:t>
      </w:r>
      <w:r>
        <w:t xml:space="preserve">Portugal</w:t>
      </w:r>
      <w:r>
        <w:t xml:space="preserve">.</w:t>
      </w:r>
      <w:r>
        <w:t xml:space="preserve"> </w:t>
      </w:r>
      <w:r>
        <w:rPr>
          <w:i/>
          <w:iCs/>
        </w:rPr>
        <w:t xml:space="preserve">International Journal of Nautical Archaeology</w:t>
      </w:r>
      <w:r>
        <w:t xml:space="preserve"> </w:t>
      </w:r>
      <w:r>
        <w:t xml:space="preserve">38, 221–253. doi:</w:t>
      </w:r>
      <w:r>
        <w:t xml:space="preserve"> </w:t>
      </w:r>
      <w:hyperlink r:id="rId245">
        <w:r>
          <w:rPr>
            <w:rStyle w:val="Hyperlink"/>
          </w:rPr>
          <w:t xml:space="preserve">10.1111/j.1095-9270.2009.00224.x</w:t>
        </w:r>
      </w:hyperlink>
    </w:p>
    <w:bookmarkEnd w:id="246"/>
    <w:bookmarkStart w:id="247" w:name="ref-wagner_alvar89"/>
    <w:p>
      <w:pPr>
        <w:pStyle w:val="Bibliography"/>
      </w:pPr>
      <w:r>
        <w:t xml:space="preserve">Wagner, C. G., and Alvar, J. (1989). Fenicios en</w:t>
      </w:r>
      <w:r>
        <w:t xml:space="preserve"> </w:t>
      </w:r>
      <w:r>
        <w:t xml:space="preserve">Occidente</w:t>
      </w:r>
      <w:r>
        <w:t xml:space="preserve">: La colonización agrícola.</w:t>
      </w:r>
      <w:r>
        <w:t xml:space="preserve"> </w:t>
      </w:r>
      <w:r>
        <w:rPr>
          <w:i/>
          <w:iCs/>
        </w:rPr>
        <w:t xml:space="preserve">Rivista di Studi Fenici</w:t>
      </w:r>
      <w:r>
        <w:t xml:space="preserve"> </w:t>
      </w:r>
      <w:r>
        <w:t xml:space="preserve">17, 61–102.</w:t>
      </w:r>
    </w:p>
    <w:bookmarkEnd w:id="247"/>
    <w:bookmarkStart w:id="248" w:name="ref-wagner_alvar03"/>
    <w:p>
      <w:pPr>
        <w:pStyle w:val="Bibliography"/>
      </w:pPr>
      <w:r>
        <w:t xml:space="preserve">Wagner, C. G., and Alvar, J. (2003). La colonización agrícola en la</w:t>
      </w:r>
      <w:r>
        <w:t xml:space="preserve"> </w:t>
      </w:r>
      <w:r>
        <w:t xml:space="preserve">Península Ibérica</w:t>
      </w:r>
      <w:r>
        <w:t xml:space="preserve">.</w:t>
      </w:r>
      <w:r>
        <w:t xml:space="preserve"> </w:t>
      </w:r>
      <w:r>
        <w:t xml:space="preserve">Estado</w:t>
      </w:r>
      <w:r>
        <w:t xml:space="preserve"> </w:t>
      </w:r>
      <w:r>
        <w:t xml:space="preserve">de la cuestión y nuevas perspectivas.</w:t>
      </w:r>
      <w:r>
        <w:t xml:space="preserve"> </w:t>
      </w:r>
      <w:r>
        <w:rPr>
          <w:i/>
          <w:iCs/>
        </w:rPr>
        <w:t xml:space="preserve">Ecohistoria del paisaje agrario. La agricultura fenicio-púnica en el Mediterráneo</w:t>
      </w:r>
      <w:r>
        <w:t xml:space="preserve"> </w:t>
      </w:r>
      <w:r>
        <w:t xml:space="preserve">95, 187–204.</w:t>
      </w:r>
    </w:p>
    <w:bookmarkEnd w:id="248"/>
    <w:bookmarkStart w:id="250" w:name="ref-wakshal_nielsen82"/>
    <w:p>
      <w:pPr>
        <w:pStyle w:val="Bibliography"/>
      </w:pPr>
      <w:r>
        <w:t xml:space="preserve">Wakshal, E., and Nielsen, H. (1982). Variations of</w:t>
      </w:r>
      <w:r>
        <w:t xml:space="preserve"> </w:t>
      </w:r>
      <m:oMath>
        <m:sSup>
          <m:e>
            <m:r>
              <m:t>δ</m:t>
            </m:r>
          </m:e>
          <m:sup>
            <m:r>
              <m:t>34</m:t>
            </m:r>
          </m:sup>
        </m:sSup>
        <m:r>
          <m:t>S</m:t>
        </m:r>
      </m:oMath>
      <w:r>
        <w:t xml:space="preserve">(</w:t>
      </w:r>
      <m:oMath>
        <m:r>
          <m:t>S</m:t>
        </m:r>
        <m:sSub>
          <m:e>
            <m:r>
              <m:t>O</m:t>
            </m:r>
          </m:e>
          <m:sub>
            <m:r>
              <m:t>4</m:t>
            </m:r>
          </m:sub>
        </m:sSub>
      </m:oMath>
      <w:r>
        <w:t xml:space="preserve">),</w:t>
      </w:r>
      <w:r>
        <w:t xml:space="preserve"> </w:t>
      </w:r>
      <m:oMath>
        <m:sSup>
          <m:e>
            <m:r>
              <m:t>δ</m:t>
            </m:r>
          </m:e>
          <m:sup>
            <m:r>
              <m:t>18</m:t>
            </m:r>
          </m:sup>
        </m:sSup>
        <m:r>
          <m:t>O</m:t>
        </m:r>
      </m:oMath>
      <w:r>
        <w:t xml:space="preserve">(</w:t>
      </w:r>
      <m:oMath>
        <m:sSub>
          <m:e>
            <m:r>
              <m:t>H</m:t>
            </m:r>
          </m:e>
          <m:sub>
            <m:r>
              <m:t>2</m:t>
            </m:r>
          </m:sub>
        </m:sSub>
        <m:r>
          <m:t>O</m:t>
        </m:r>
      </m:oMath>
      <w:r>
        <w:t xml:space="preserve">) and</w:t>
      </w:r>
      <w:r>
        <w:t xml:space="preserve"> </w:t>
      </w:r>
      <w:r>
        <w:t xml:space="preserve">Cl</w:t>
      </w:r>
      <w:r>
        <w:t xml:space="preserve">/</w:t>
      </w:r>
      <m:oMath>
        <m:r>
          <m:t>S</m:t>
        </m:r>
        <m:sSub>
          <m:e>
            <m:r>
              <m:t>O</m:t>
            </m:r>
          </m:e>
          <m:sub>
            <m:r>
              <m:t>4</m:t>
            </m:r>
          </m:sub>
        </m:sSub>
      </m:oMath>
      <w:r>
        <w:t xml:space="preserve"> </w:t>
      </w:r>
      <w:r>
        <w:t xml:space="preserve">ratio in rainwater over northern</w:t>
      </w:r>
      <w:r>
        <w:t xml:space="preserve"> </w:t>
      </w:r>
      <w:r>
        <w:t xml:space="preserve">Israel</w:t>
      </w:r>
      <w:r>
        <w:t xml:space="preserve">, from the</w:t>
      </w:r>
      <w:r>
        <w:t xml:space="preserve"> </w:t>
      </w:r>
      <w:r>
        <w:t xml:space="preserve">Mediterranean Coast</w:t>
      </w:r>
      <w:r>
        <w:t xml:space="preserve"> </w:t>
      </w:r>
      <w:r>
        <w:t xml:space="preserve">to</w:t>
      </w:r>
      <w:r>
        <w:t xml:space="preserve"> </w:t>
      </w:r>
      <w:r>
        <w:t xml:space="preserve">Jordan Rift Valley</w:t>
      </w:r>
      <w:r>
        <w:t xml:space="preserve"> </w:t>
      </w:r>
      <w:r>
        <w:t xml:space="preserve">and</w:t>
      </w:r>
      <w:r>
        <w:t xml:space="preserve"> </w:t>
      </w:r>
      <w:r>
        <w:t xml:space="preserve">Golan Heights</w:t>
      </w:r>
      <w:r>
        <w:t xml:space="preserve">.</w:t>
      </w:r>
      <w:r>
        <w:t xml:space="preserve"> </w:t>
      </w:r>
      <w:r>
        <w:rPr>
          <w:i/>
          <w:iCs/>
        </w:rPr>
        <w:t xml:space="preserve">Earth and Planetary Science Letters</w:t>
      </w:r>
      <w:r>
        <w:t xml:space="preserve"> </w:t>
      </w:r>
      <w:r>
        <w:t xml:space="preserve">61, 272–282. doi:</w:t>
      </w:r>
      <w:r>
        <w:t xml:space="preserve"> </w:t>
      </w:r>
      <w:hyperlink r:id="rId249">
        <w:r>
          <w:rPr>
            <w:rStyle w:val="Hyperlink"/>
          </w:rPr>
          <w:t xml:space="preserve">10.1016/0012-821X(82)90058-9</w:t>
        </w:r>
      </w:hyperlink>
    </w:p>
    <w:bookmarkEnd w:id="250"/>
    <w:bookmarkStart w:id="252" w:name="ref-wallace_etal13"/>
    <w:p>
      <w:pPr>
        <w:pStyle w:val="Bibliography"/>
      </w:pPr>
      <w:r>
        <w:t xml:space="preserve">Wallace, M., Jones, G., Charles, M., Fraser, R., Halstead, P., Heaton, T. H. E., et al. (2013). Stable carbon isotope analysis as a direct means of inferring crop water status and water management practices.</w:t>
      </w:r>
      <w:r>
        <w:t xml:space="preserve"> </w:t>
      </w:r>
      <w:r>
        <w:rPr>
          <w:i/>
          <w:iCs/>
        </w:rPr>
        <w:t xml:space="preserve">World Archaeology</w:t>
      </w:r>
      <w:r>
        <w:t xml:space="preserve"> </w:t>
      </w:r>
      <w:r>
        <w:t xml:space="preserve">45, 388–409. doi:</w:t>
      </w:r>
      <w:r>
        <w:t xml:space="preserve"> </w:t>
      </w:r>
      <w:hyperlink r:id="rId251">
        <w:r>
          <w:rPr>
            <w:rStyle w:val="Hyperlink"/>
          </w:rPr>
          <w:t xml:space="preserve">10.1080/00438243.2013.821671</w:t>
        </w:r>
      </w:hyperlink>
    </w:p>
    <w:bookmarkEnd w:id="252"/>
    <w:bookmarkStart w:id="254" w:name="ref-waterman_etal16"/>
    <w:p>
      <w:pPr>
        <w:pStyle w:val="Bibliography"/>
      </w:pPr>
      <w:r>
        <w:t xml:space="preserve">Waterman, A. J., Tykot, R. H., and Silva, A. M. (2016). Stable</w:t>
      </w:r>
      <w:r>
        <w:t xml:space="preserve"> </w:t>
      </w:r>
      <w:r>
        <w:t xml:space="preserve">Isotope Analysis</w:t>
      </w:r>
      <w:r>
        <w:t xml:space="preserve"> </w:t>
      </w:r>
      <w:r>
        <w:t xml:space="preserve">of</w:t>
      </w:r>
      <w:r>
        <w:t xml:space="preserve"> </w:t>
      </w:r>
      <w:r>
        <w:t xml:space="preserve">Diet-based Social Differentiation</w:t>
      </w:r>
      <w:r>
        <w:t xml:space="preserve"> </w:t>
      </w:r>
      <w:r>
        <w:t xml:space="preserve">at</w:t>
      </w:r>
      <w:r>
        <w:t xml:space="preserve"> </w:t>
      </w:r>
      <w:r>
        <w:t xml:space="preserve">Late Prehistoric Collective Burials</w:t>
      </w:r>
      <w:r>
        <w:t xml:space="preserve"> </w:t>
      </w:r>
      <w:r>
        <w:t xml:space="preserve">in</w:t>
      </w:r>
      <w:r>
        <w:t xml:space="preserve"> </w:t>
      </w:r>
      <w:r>
        <w:t xml:space="preserve">South-Western Portugal</w:t>
      </w:r>
      <w:r>
        <w:t xml:space="preserve">.</w:t>
      </w:r>
      <w:r>
        <w:t xml:space="preserve"> </w:t>
      </w:r>
      <w:r>
        <w:rPr>
          <w:i/>
          <w:iCs/>
        </w:rPr>
        <w:t xml:space="preserve">Archaeometry</w:t>
      </w:r>
      <w:r>
        <w:t xml:space="preserve"> </w:t>
      </w:r>
      <w:r>
        <w:t xml:space="preserve">58, 131–151. doi:</w:t>
      </w:r>
      <w:r>
        <w:t xml:space="preserve"> </w:t>
      </w:r>
      <w:hyperlink r:id="rId253">
        <w:r>
          <w:rPr>
            <w:rStyle w:val="Hyperlink"/>
          </w:rPr>
          <w:t xml:space="preserve">10.1111/arcm.12159</w:t>
        </w:r>
      </w:hyperlink>
    </w:p>
    <w:bookmarkEnd w:id="254"/>
    <w:bookmarkStart w:id="256" w:name="ref-webb_etal17a"/>
    <w:p>
      <w:pPr>
        <w:pStyle w:val="Bibliography"/>
      </w:pPr>
      <w:r>
        <w:t xml:space="preserve">Webb, E. C., Lewis, J., Shain, A., Kastrisianaki-Guyton, E., Honch, N. V., Stewart, A., et al. (2017). The influence of varying proportions of terrestrial and marine dietary protein on the stable carbon-isotope compositions of pig tissues from a controlled feeding experiment.</w:t>
      </w:r>
      <w:r>
        <w:t xml:space="preserve"> </w:t>
      </w:r>
      <w:r>
        <w:rPr>
          <w:i/>
          <w:iCs/>
        </w:rPr>
        <w:t xml:space="preserve">STAR: Science &amp; Technology of Archaeological Research</w:t>
      </w:r>
      <w:r>
        <w:t xml:space="preserve"> </w:t>
      </w:r>
      <w:r>
        <w:t xml:space="preserve">3, 28–44. doi:</w:t>
      </w:r>
      <w:r>
        <w:t xml:space="preserve"> </w:t>
      </w:r>
      <w:hyperlink r:id="rId255">
        <w:r>
          <w:rPr>
            <w:rStyle w:val="Hyperlink"/>
          </w:rPr>
          <w:t xml:space="preserve">10.1080/20548923.2016.1275477</w:t>
        </w:r>
      </w:hyperlink>
    </w:p>
    <w:bookmarkEnd w:id="256"/>
    <w:bookmarkStart w:id="258" w:name="ref-wickham16"/>
    <w:p>
      <w:pPr>
        <w:pStyle w:val="Bibliography"/>
      </w:pPr>
      <w:r>
        <w:t xml:space="preserve">Wickham, H. (2016).</w:t>
      </w:r>
      <w:r>
        <w:t xml:space="preserve"> </w:t>
      </w:r>
      <w:r>
        <w:rPr>
          <w:i/>
          <w:iCs/>
        </w:rPr>
        <w:t xml:space="preserve">Ggplot2:</w:t>
      </w:r>
      <w:r>
        <w:rPr>
          <w:i/>
          <w:iCs/>
        </w:rPr>
        <w:t xml:space="preserve"> </w:t>
      </w:r>
      <w:r>
        <w:rPr>
          <w:i/>
          <w:iCs/>
        </w:rPr>
        <w:t xml:space="preserve">Elegant Graphics</w:t>
      </w:r>
      <w:r>
        <w:rPr>
          <w:i/>
          <w:iCs/>
        </w:rPr>
        <w:t xml:space="preserve"> </w:t>
      </w:r>
      <w:r>
        <w:rPr>
          <w:i/>
          <w:iCs/>
        </w:rPr>
        <w:t xml:space="preserve">for</w:t>
      </w:r>
      <w:r>
        <w:rPr>
          <w:i/>
          <w:iCs/>
        </w:rPr>
        <w:t xml:space="preserve"> </w:t>
      </w:r>
      <w:r>
        <w:rPr>
          <w:i/>
          <w:iCs/>
        </w:rPr>
        <w:t xml:space="preserve">Data Analysis</w:t>
      </w:r>
      <w:r>
        <w:t xml:space="preserve">.</w:t>
      </w:r>
      <w:r>
        <w:t xml:space="preserve"> </w:t>
      </w:r>
      <w:r>
        <w:t xml:space="preserve">Springer-Verlag New York</w:t>
      </w:r>
      <w:r>
        <w:t xml:space="preserve">. Available at:</w:t>
      </w:r>
      <w:r>
        <w:t xml:space="preserve"> </w:t>
      </w:r>
      <w:hyperlink r:id="rId257">
        <w:r>
          <w:rPr>
            <w:rStyle w:val="Hyperlink"/>
          </w:rPr>
          <w:t xml:space="preserve">https://ggplot2.tidyverse.org</w:t>
        </w:r>
      </w:hyperlink>
    </w:p>
    <w:bookmarkEnd w:id="258"/>
    <w:bookmarkStart w:id="260" w:name="ref-wilson16"/>
    <w:p>
      <w:pPr>
        <w:pStyle w:val="Bibliography"/>
      </w:pPr>
      <w:r>
        <w:t xml:space="preserve">Wilson, L. (2016).</w:t>
      </w:r>
      <w:r>
        <w:t xml:space="preserve"> </w:t>
      </w:r>
      <w:r>
        <w:t xml:space="preserve">“Spices and</w:t>
      </w:r>
      <w:r>
        <w:t xml:space="preserve"> </w:t>
      </w:r>
      <w:r>
        <w:t xml:space="preserve">Flavoring Crops</w:t>
      </w:r>
      <w:r>
        <w:t xml:space="preserve">:</w:t>
      </w:r>
      <w:r>
        <w:t xml:space="preserve"> </w:t>
      </w:r>
      <w:r>
        <w:t xml:space="preserve">Fruits</w:t>
      </w:r>
      <w:r>
        <w:t xml:space="preserve"> </w:t>
      </w:r>
      <w:r>
        <w:t xml:space="preserve">and</w:t>
      </w:r>
      <w:r>
        <w:t xml:space="preserve"> </w:t>
      </w:r>
      <w:r>
        <w:t xml:space="preserve">Seeds</w:t>
      </w:r>
      <w:r>
        <w:t xml:space="preserve">,”</w:t>
      </w:r>
      <w:r>
        <w:t xml:space="preserve"> </w:t>
      </w:r>
      <w:r>
        <w:t xml:space="preserve">in</w:t>
      </w:r>
      <w:r>
        <w:t xml:space="preserve"> </w:t>
      </w:r>
      <w:r>
        <w:rPr>
          <w:i/>
          <w:iCs/>
        </w:rPr>
        <w:t xml:space="preserve">Encyclopedia of</w:t>
      </w:r>
      <w:r>
        <w:rPr>
          <w:i/>
          <w:iCs/>
        </w:rPr>
        <w:t xml:space="preserve"> </w:t>
      </w:r>
      <w:r>
        <w:rPr>
          <w:i/>
          <w:iCs/>
        </w:rPr>
        <w:t xml:space="preserve">Food</w:t>
      </w:r>
      <w:r>
        <w:rPr>
          <w:i/>
          <w:iCs/>
        </w:rPr>
        <w:t xml:space="preserve"> </w:t>
      </w:r>
      <w:r>
        <w:rPr>
          <w:i/>
          <w:iCs/>
        </w:rPr>
        <w:t xml:space="preserve">and</w:t>
      </w:r>
      <w:r>
        <w:rPr>
          <w:i/>
          <w:iCs/>
        </w:rPr>
        <w:t xml:space="preserve"> </w:t>
      </w:r>
      <w:r>
        <w:rPr>
          <w:i/>
          <w:iCs/>
        </w:rPr>
        <w:t xml:space="preserve">Health</w:t>
      </w:r>
      <w:r>
        <w:t xml:space="preserve">, eds. B. Caballero, P. M. Finglas, and F. Toldrá (</w:t>
      </w:r>
      <w:r>
        <w:t xml:space="preserve">Oxford</w:t>
      </w:r>
      <w:r>
        <w:t xml:space="preserve">:</w:t>
      </w:r>
      <w:r>
        <w:t xml:space="preserve"> </w:t>
      </w:r>
      <w:r>
        <w:t xml:space="preserve">Academic Press</w:t>
      </w:r>
      <w:r>
        <w:t xml:space="preserve">), 73–83. doi:</w:t>
      </w:r>
      <w:r>
        <w:t xml:space="preserve"> </w:t>
      </w:r>
      <w:hyperlink r:id="rId259">
        <w:r>
          <w:rPr>
            <w:rStyle w:val="Hyperlink"/>
          </w:rPr>
          <w:t xml:space="preserve">10.1016/B978-0-12-384947-2.00647-4</w:t>
        </w:r>
      </w:hyperlink>
    </w:p>
    <w:bookmarkEnd w:id="260"/>
    <w:bookmarkStart w:id="262" w:name="ref-wood_etal19"/>
    <w:p>
      <w:pPr>
        <w:pStyle w:val="Bibliography"/>
      </w:pPr>
      <w:r>
        <w:t xml:space="preserve">Wood, J. R., Montero-Ruiz, I., and Martinón-Torres, M. (2019). From</w:t>
      </w:r>
      <w:r>
        <w:t xml:space="preserve"> </w:t>
      </w:r>
      <w:r>
        <w:t xml:space="preserve">Iberia</w:t>
      </w:r>
      <w:r>
        <w:t xml:space="preserve"> </w:t>
      </w:r>
      <w:r>
        <w:t xml:space="preserve">to the</w:t>
      </w:r>
      <w:r>
        <w:t xml:space="preserve"> </w:t>
      </w:r>
      <w:r>
        <w:t xml:space="preserve">Southern Levant</w:t>
      </w:r>
      <w:r>
        <w:t xml:space="preserve">:</w:t>
      </w:r>
      <w:r>
        <w:t xml:space="preserve"> </w:t>
      </w:r>
      <w:r>
        <w:t xml:space="preserve">The Movement</w:t>
      </w:r>
      <w:r>
        <w:t xml:space="preserve"> </w:t>
      </w:r>
      <w:r>
        <w:t xml:space="preserve">of</w:t>
      </w:r>
      <w:r>
        <w:t xml:space="preserve"> </w:t>
      </w:r>
      <w:r>
        <w:t xml:space="preserve">Silver Across</w:t>
      </w:r>
      <w:r>
        <w:t xml:space="preserve"> </w:t>
      </w:r>
      <w:r>
        <w:t xml:space="preserve">the</w:t>
      </w:r>
      <w:r>
        <w:t xml:space="preserve"> </w:t>
      </w:r>
      <w:r>
        <w:t xml:space="preserve">Mediterranean</w:t>
      </w:r>
      <w:r>
        <w:t xml:space="preserve"> </w:t>
      </w:r>
      <w:r>
        <w:t xml:space="preserve">in the</w:t>
      </w:r>
      <w:r>
        <w:t xml:space="preserve"> </w:t>
      </w:r>
      <w:r>
        <w:t xml:space="preserve">Early Iron Age</w:t>
      </w:r>
      <w:r>
        <w:t xml:space="preserve">.</w:t>
      </w:r>
      <w:r>
        <w:t xml:space="preserve"> </w:t>
      </w:r>
      <w:r>
        <w:rPr>
          <w:i/>
          <w:iCs/>
        </w:rPr>
        <w:t xml:space="preserve">Journal of World Prehistory</w:t>
      </w:r>
      <w:r>
        <w:t xml:space="preserve"> </w:t>
      </w:r>
      <w:r>
        <w:t xml:space="preserve">32, 1–31. doi:</w:t>
      </w:r>
      <w:r>
        <w:t xml:space="preserve"> </w:t>
      </w:r>
      <w:hyperlink r:id="rId261">
        <w:r>
          <w:rPr>
            <w:rStyle w:val="Hyperlink"/>
          </w:rPr>
          <w:t xml:space="preserve">10.1007/s10963-018-09128-3</w:t>
        </w:r>
      </w:hyperlink>
    </w:p>
    <w:bookmarkEnd w:id="262"/>
    <w:bookmarkStart w:id="263" w:name="ref-zabinski1959"/>
    <w:p>
      <w:pPr>
        <w:pStyle w:val="Bibliography"/>
      </w:pPr>
      <w:r>
        <w:t xml:space="preserve">Żabiński, Z. (1959). A biological indicator of the buying power of money.</w:t>
      </w:r>
      <w:r>
        <w:t xml:space="preserve"> </w:t>
      </w:r>
      <w:r>
        <w:rPr>
          <w:i/>
          <w:iCs/>
        </w:rPr>
        <w:t xml:space="preserve">Roczniki Dziejów Sploecznych I Gospodarczych</w:t>
      </w:r>
      <w:r>
        <w:t xml:space="preserve"> </w:t>
      </w:r>
      <w:r>
        <w:t xml:space="preserve">20, 37–53.</w:t>
      </w:r>
    </w:p>
    <w:bookmarkEnd w:id="263"/>
    <w:bookmarkStart w:id="265" w:name="ref-zalaite_etal18"/>
    <w:p>
      <w:pPr>
        <w:pStyle w:val="Bibliography"/>
      </w:pPr>
      <w:r>
        <w:t xml:space="preserve">Žalaitė, I., Maurer, A. F., Grimes, V., Silva, A. M., Ribeiro, S., Santos, J. F., et al. (2018). Diet and mobility of fauna from</w:t>
      </w:r>
      <w:r>
        <w:t xml:space="preserve"> </w:t>
      </w:r>
      <w:r>
        <w:t xml:space="preserve">Late Neolithic</w:t>
      </w:r>
      <w:r>
        <w:t xml:space="preserve">–</w:t>
      </w:r>
      <w:r>
        <w:t xml:space="preserve">Chalcolithic</w:t>
      </w:r>
      <w:r>
        <w:t xml:space="preserve"> </w:t>
      </w:r>
      <w:r>
        <w:t xml:space="preserve">site of</w:t>
      </w:r>
      <w:r>
        <w:t xml:space="preserve"> </w:t>
      </w:r>
      <w:r>
        <w:t xml:space="preserve">Perdigões</w:t>
      </w:r>
      <w:r>
        <w:t xml:space="preserve">,</w:t>
      </w:r>
      <w:r>
        <w:t xml:space="preserve"> </w:t>
      </w:r>
      <w:r>
        <w:t xml:space="preserve">Portugal</w:t>
      </w:r>
      <w:r>
        <w:t xml:space="preserve">.</w:t>
      </w:r>
      <w:r>
        <w:t xml:space="preserve"> </w:t>
      </w:r>
      <w:r>
        <w:rPr>
          <w:i/>
          <w:iCs/>
        </w:rPr>
        <w:t xml:space="preserve">Journal of Archaeological Science: Reports</w:t>
      </w:r>
      <w:r>
        <w:t xml:space="preserve"> </w:t>
      </w:r>
      <w:r>
        <w:t xml:space="preserve">19, 674–685. doi:</w:t>
      </w:r>
      <w:r>
        <w:t xml:space="preserve"> </w:t>
      </w:r>
      <w:hyperlink r:id="rId264">
        <w:r>
          <w:rPr>
            <w:rStyle w:val="Hyperlink"/>
          </w:rPr>
          <w:t xml:space="preserve">10.1016/j.jasrep.2018.03.033</w:t>
        </w:r>
      </w:hyperlink>
    </w:p>
    <w:bookmarkEnd w:id="265"/>
    <w:bookmarkEnd w:id="266"/>
    <w:bookmarkEnd w:id="267"/>
    <w:sectPr w:rsidR="005A091B" w:rsidRPr="0097739A" w:rsidSect="0097739A">
      <w:headerReference r:id="rId11" w:type="even"/>
      <w:headerReference r:id="rId10" w:type="default"/>
      <w:footerReference r:id="rId13" w:type="even"/>
      <w:footerReference r:id="rId12" w:type="default"/>
      <w:headerReference r:id="rId9" w:type="first"/>
      <w:pgSz w:h="15840" w:w="12240"/>
      <w:pgMar w:bottom="1138" w:footer="510" w:gutter="0" w:header="283" w:left="1282" w:right="1181" w:top="1138"/>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useoSlab">
    <w:altName w:val="Times New Roman"/>
    <w:charset w:val="00"/>
    <w:family w:val="auto"/>
    <w:pitch w:val="default"/>
  </w:font>
  <w:font w:name="Helvetica">
    <w:panose1 w:val="020B05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A24CDF" w14:textId="77777777" w:rsidR="00000000" w:rsidRPr="00577C4C" w:rsidRDefault="00000000">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61312" behindDoc="0" locked="0" layoutInCell="1" allowOverlap="1" wp14:anchorId="2A5A7DBF" wp14:editId="6C96DD47">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0353B393" w14:textId="77777777" w:rsidR="00000000" w:rsidRPr="00E9561B" w:rsidRDefault="00000000">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A5A7DBF"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" stroked="f">
              <v:textbox style="mso-fit-shape-to-text:t">
                <w:txbxContent>
                  <w:p w14:paraId="0353B393" w14:textId="77777777" w:rsidR="00000000" w:rsidRPr="00E9561B" w:rsidRDefault="00000000">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72B3E546" wp14:editId="7A6FB1A0">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10F6810F" w14:textId="77777777" w:rsidR="00000000" w:rsidRPr="00577C4C" w:rsidRDefault="0000000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B3E546" id="Text Box 1" o:spid="_x0000_s1027" type="#_x0000_t202" style="position:absolute;margin-left:67.6pt;margin-top:0;width:118.8pt;height:31.15pt;z-index:25166028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" filled="f" stroked="f" strokeweight=".5pt">
              <v:textbox style="mso-fit-shape-to-text:t">
                <w:txbxContent>
                  <w:p w14:paraId="10F6810F" w14:textId="77777777" w:rsidR="00000000" w:rsidRPr="00577C4C" w:rsidRDefault="0000000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212AA" w14:textId="77777777" w:rsidR="00000000" w:rsidRPr="00577C4C" w:rsidRDefault="00000000">
    <w:pPr>
      <w:pStyle w:val="Footer"/>
      <w:rPr>
        <w:b/>
        <w:sz w:val="20"/>
        <w:szCs w:val="24"/>
      </w:rPr>
    </w:pPr>
    <w:r>
      <w:rPr>
        <w:noProof/>
        <w:lang w:val="en-GB" w:eastAsia="en-GB"/>
      </w:rPr>
      <mc:AlternateContent>
        <mc:Choice Requires="wps">
          <w:drawing>
            <wp:anchor distT="0" distB="0" distL="114300" distR="114300" simplePos="0" relativeHeight="251659264" behindDoc="0" locked="0" layoutInCell="1" allowOverlap="1" wp14:anchorId="29FE496D" wp14:editId="1B53AFA5">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33B1BB86" w14:textId="77777777" w:rsidR="00000000" w:rsidRPr="00577C4C" w:rsidRDefault="0000000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9FE496D" id="_x0000_t202" coordsize="21600,21600" o:spt="202" path="m,l,21600r21600,l21600,xe">
              <v:stroke joinstyle="miter"/>
              <v:path gradientshapeok="t" o:connecttype="rect"/>
            </v:shapetype>
            <v:shape id="Text Box 56" o:spid="_x0000_s1028"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" filled="f" stroked="f" strokeweight=".5pt">
              <v:textbox style="mso-fit-shape-to-text:t">
                <w:txbxContent>
                  <w:p w14:paraId="33B1BB86" w14:textId="77777777" w:rsidR="00000000" w:rsidRPr="00577C4C" w:rsidRDefault="00000000">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505D4" w14:textId="77777777" w:rsidR="00000000" w:rsidRPr="007E3148" w:rsidRDefault="00000000" w:rsidP="00A5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599FC" w14:textId="77777777" w:rsidR="00000000" w:rsidRPr="00A53000" w:rsidRDefault="00000000" w:rsidP="00A53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E9B82" w14:textId="77777777" w:rsidR="00000000" w:rsidRDefault="00000000" w:rsidP="00A53000">
    <w:pPr>
      <w:pStyle w:val="Header"/>
    </w:pPr>
    <w:r w:rsidRPr="005A1D84">
      <w:rPr>
        <w:noProof/>
        <w:color w:val="A6A6A6" w:themeColor="background1" w:themeShade="A6"/>
        <w:lang w:val="en-GB" w:eastAsia="en-GB"/>
      </w:rPr>
      <w:drawing>
        <wp:inline distT="0" distB="0" distL="0" distR="0" wp14:anchorId="748606A2" wp14:editId="54B96FCF">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3">
    <w:nsid w:val="1EC0601A"/>
    <w:multiLevelType w:val="multilevel"/>
    <w:tmpl w:val="C6A8CCEA"/>
    <w:styleLink w:val="Headings"/>
    <w:lvl w:ilvl="0">
      <w:start w:val="1"/>
      <w:numFmt w:val="decimal"/>
      <w:lvlText w:val="%1"/>
      <w:lvlJc w:val="left"/>
      <w:pPr>
        <w:tabs>
          <w:tab w:pos="567" w:val="num"/>
        </w:tabs>
        <w:ind w:hanging="567" w:left="567"/>
      </w:pPr>
      <w:rPr>
        <w:rFonts w:hint="default"/>
      </w:rPr>
    </w:lvl>
    <w:lvl w:ilvl="1">
      <w:start w:val="1"/>
      <w:numFmt w:val="decimal"/>
      <w:lvlText w:val="%1.%2"/>
      <w:lvlJc w:val="left"/>
      <w:pPr>
        <w:tabs>
          <w:tab w:pos="567" w:val="num"/>
        </w:tabs>
        <w:ind w:hanging="567" w:left="567"/>
      </w:pPr>
      <w:rPr>
        <w:rFonts w:hint="default"/>
      </w:rPr>
    </w:lvl>
    <w:lvl w:ilvl="2">
      <w:start w:val="1"/>
      <w:numFmt w:val="decimal"/>
      <w:lvlText w:val="%1.%2.%3"/>
      <w:lvlJc w:val="left"/>
      <w:pPr>
        <w:tabs>
          <w:tab w:pos="567" w:val="num"/>
        </w:tabs>
        <w:ind w:hanging="567" w:left="567"/>
      </w:pPr>
      <w:rPr>
        <w:rFonts w:hint="default"/>
      </w:rPr>
    </w:lvl>
    <w:lvl w:ilvl="3">
      <w:start w:val="1"/>
      <w:numFmt w:val="decimal"/>
      <w:lvlText w:val="%1.%2.%3.%4"/>
      <w:lvlJc w:val="left"/>
      <w:pPr>
        <w:tabs>
          <w:tab w:pos="567" w:val="num"/>
        </w:tabs>
        <w:ind w:hanging="567" w:left="567"/>
      </w:pPr>
      <w:rPr>
        <w:rFonts w:hint="default"/>
      </w:rPr>
    </w:lvl>
    <w:lvl w:ilvl="4">
      <w:start w:val="1"/>
      <w:numFmt w:val="decimal"/>
      <w:lvlText w:val="%1.%2.%3.%4.%5"/>
      <w:lvlJc w:val="left"/>
      <w:pPr>
        <w:tabs>
          <w:tab w:pos="567" w:val="num"/>
        </w:tabs>
        <w:ind w:hanging="567" w:left="567"/>
      </w:pPr>
      <w:rPr>
        <w:rFonts w:hint="default"/>
      </w:rPr>
    </w:lvl>
    <w:lvl w:ilvl="5">
      <w:start w:val="1"/>
      <w:numFmt w:val="lowerRoman"/>
      <w:lvlText w:val="%6."/>
      <w:lvlJc w:val="right"/>
      <w:pPr>
        <w:tabs>
          <w:tab w:pos="567" w:val="num"/>
        </w:tabs>
        <w:ind w:hanging="567" w:left="567"/>
      </w:pPr>
      <w:rPr>
        <w:rFonts w:hint="default"/>
      </w:rPr>
    </w:lvl>
    <w:lvl w:ilvl="6">
      <w:start w:val="1"/>
      <w:numFmt w:val="decimal"/>
      <w:lvlText w:val="%7."/>
      <w:lvlJc w:val="left"/>
      <w:pPr>
        <w:tabs>
          <w:tab w:pos="567" w:val="num"/>
        </w:tabs>
        <w:ind w:hanging="567" w:left="567"/>
      </w:pPr>
      <w:rPr>
        <w:rFonts w:hint="default"/>
      </w:rPr>
    </w:lvl>
    <w:lvl w:ilvl="7">
      <w:start w:val="1"/>
      <w:numFmt w:val="lowerLetter"/>
      <w:lvlText w:val="%8."/>
      <w:lvlJc w:val="left"/>
      <w:pPr>
        <w:tabs>
          <w:tab w:pos="567" w:val="num"/>
        </w:tabs>
        <w:ind w:hanging="567" w:left="567"/>
      </w:pPr>
      <w:rPr>
        <w:rFonts w:hint="default"/>
      </w:rPr>
    </w:lvl>
    <w:lvl w:ilvl="8">
      <w:start w:val="1"/>
      <w:numFmt w:val="lowerRoman"/>
      <w:lvlText w:val="%9."/>
      <w:lvlJc w:val="right"/>
      <w:pPr>
        <w:tabs>
          <w:tab w:pos="567" w:val="num"/>
        </w:tabs>
        <w:ind w:hanging="567" w:left="567"/>
      </w:pPr>
      <w:rPr>
        <w:rFonts w:hint="default"/>
      </w:rPr>
    </w:lvl>
  </w:abstractNum>
  <w:abstractNum w15:restartNumberingAfterBreak="0" w:abstractNumId="4">
    <w:nsid w:val="225305B5"/>
    <w:multiLevelType w:val="hybridMultilevel"/>
    <w:tmpl w:val="4F8C24FA"/>
    <w:lvl w:ilvl="0" w:tplc="A9DCD718">
      <w:start w:val="1"/>
      <w:numFmt w:val="bullet"/>
      <w:pStyle w:val="ListParagraph"/>
      <w:lvlText w:val=""/>
      <w:lvlJc w:val="left"/>
      <w:pPr>
        <w:ind w:hanging="360" w:left="1440"/>
      </w:pPr>
      <w:rPr>
        <w:rFonts w:ascii="Symbol" w:hAnsi="Symbol" w:hint="default"/>
      </w:rPr>
    </w:lvl>
    <w:lvl w:ilvl="1" w:tentative="1" w:tplc="08090003">
      <w:start w:val="1"/>
      <w:numFmt w:val="bullet"/>
      <w:lvlText w:val="o"/>
      <w:lvlJc w:val="left"/>
      <w:pPr>
        <w:ind w:hanging="360" w:left="2160"/>
      </w:pPr>
      <w:rPr>
        <w:rFonts w:ascii="Courier New" w:cs="Courier New" w:hAnsi="Courier New" w:hint="default"/>
      </w:rPr>
    </w:lvl>
    <w:lvl w:ilvl="2" w:tentative="1" w:tplc="08090005">
      <w:start w:val="1"/>
      <w:numFmt w:val="bullet"/>
      <w:lvlText w:val=""/>
      <w:lvlJc w:val="left"/>
      <w:pPr>
        <w:ind w:hanging="360" w:left="2880"/>
      </w:pPr>
      <w:rPr>
        <w:rFonts w:ascii="Wingdings" w:hAnsi="Wingdings" w:hint="default"/>
      </w:rPr>
    </w:lvl>
    <w:lvl w:ilvl="3" w:tentative="1" w:tplc="08090001">
      <w:start w:val="1"/>
      <w:numFmt w:val="bullet"/>
      <w:lvlText w:val=""/>
      <w:lvlJc w:val="left"/>
      <w:pPr>
        <w:ind w:hanging="360" w:left="3600"/>
      </w:pPr>
      <w:rPr>
        <w:rFonts w:ascii="Symbol" w:hAnsi="Symbol" w:hint="default"/>
      </w:rPr>
    </w:lvl>
    <w:lvl w:ilvl="4" w:tentative="1" w:tplc="08090003">
      <w:start w:val="1"/>
      <w:numFmt w:val="bullet"/>
      <w:lvlText w:val="o"/>
      <w:lvlJc w:val="left"/>
      <w:pPr>
        <w:ind w:hanging="360" w:left="4320"/>
      </w:pPr>
      <w:rPr>
        <w:rFonts w:ascii="Courier New" w:cs="Courier New" w:hAnsi="Courier New" w:hint="default"/>
      </w:rPr>
    </w:lvl>
    <w:lvl w:ilvl="5" w:tentative="1" w:tplc="08090005">
      <w:start w:val="1"/>
      <w:numFmt w:val="bullet"/>
      <w:lvlText w:val=""/>
      <w:lvlJc w:val="left"/>
      <w:pPr>
        <w:ind w:hanging="360" w:left="5040"/>
      </w:pPr>
      <w:rPr>
        <w:rFonts w:ascii="Wingdings" w:hAnsi="Wingdings" w:hint="default"/>
      </w:rPr>
    </w:lvl>
    <w:lvl w:ilvl="6" w:tentative="1" w:tplc="08090001">
      <w:start w:val="1"/>
      <w:numFmt w:val="bullet"/>
      <w:lvlText w:val=""/>
      <w:lvlJc w:val="left"/>
      <w:pPr>
        <w:ind w:hanging="360" w:left="5760"/>
      </w:pPr>
      <w:rPr>
        <w:rFonts w:ascii="Symbol" w:hAnsi="Symbol" w:hint="default"/>
      </w:rPr>
    </w:lvl>
    <w:lvl w:ilvl="7" w:tentative="1" w:tplc="08090003">
      <w:start w:val="1"/>
      <w:numFmt w:val="bullet"/>
      <w:lvlText w:val="o"/>
      <w:lvlJc w:val="left"/>
      <w:pPr>
        <w:ind w:hanging="360" w:left="6480"/>
      </w:pPr>
      <w:rPr>
        <w:rFonts w:ascii="Courier New" w:cs="Courier New" w:hAnsi="Courier New" w:hint="default"/>
      </w:rPr>
    </w:lvl>
    <w:lvl w:ilvl="8" w:tentative="1" w:tplc="08090005">
      <w:start w:val="1"/>
      <w:numFmt w:val="bullet"/>
      <w:lvlText w:val=""/>
      <w:lvlJc w:val="left"/>
      <w:pPr>
        <w:ind w:hanging="360" w:left="7200"/>
      </w:pPr>
      <w:rPr>
        <w:rFonts w:ascii="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221797237" w:numId="1">
    <w:abstractNumId w:val="2"/>
  </w:num>
  <w:num w16cid:durableId="279185392" w:numId="2">
    <w:abstractNumId w:val="1"/>
  </w:num>
  <w:num w16cid:durableId="912662345" w:numId="3">
    <w:abstractNumId w:val="0"/>
  </w:num>
  <w:num w16cid:durableId="2002923295" w:numId="4">
    <w:abstractNumId w:val="3"/>
    <w:lvlOverride w:ilvl="0">
      <w:lvl w:ilvl="0">
        <w:start w:val="1"/>
        <w:numFmt w:val="decimal"/>
        <w:lvlText w:val="%1"/>
        <w:lvlJc w:val="left"/>
        <w:pPr>
          <w:tabs>
            <w:tab w:pos="567" w:val="num"/>
          </w:tabs>
          <w:ind w:hanging="567" w:left="567"/>
        </w:pPr>
        <w:rPr>
          <w:rFonts w:hint="default"/>
        </w:rPr>
      </w:lvl>
    </w:lvlOverride>
    <w:lvlOverride w:ilvl="1">
      <w:lvl w:ilvl="1">
        <w:start w:val="1"/>
        <w:numFmt w:val="decimal"/>
        <w:lvlText w:val="%1.%2"/>
        <w:lvlJc w:val="left"/>
        <w:pPr>
          <w:tabs>
            <w:tab w:pos="567" w:val="num"/>
          </w:tabs>
          <w:ind w:hanging="567" w:left="567"/>
        </w:pPr>
        <w:rPr>
          <w:rFonts w:hint="default"/>
        </w:rPr>
      </w:lvl>
    </w:lvlOverride>
  </w:num>
  <w:num w16cid:durableId="944966812" w:numId="5">
    <w:abstractNumId w:val="4"/>
  </w:num>
  <w:num w16cid:durableId="1120419941" w:numId="6">
    <w:abstractNumId w:val="3"/>
    <w:lvlOverride w:ilvl="0">
      <w:startOverride w:val="1"/>
      <w:lvl w:ilvl="0">
        <w:start w:val="1"/>
        <w:numFmt w:val="decimal"/>
        <w:lvlText w:val="%1"/>
        <w:lvlJc w:val="left"/>
        <w:pPr>
          <w:tabs>
            <w:tab w:pos="567" w:val="num"/>
          </w:tabs>
          <w:ind w:hanging="567" w:left="567"/>
        </w:pPr>
      </w:lvl>
    </w:lvlOverride>
    <w:lvlOverride w:ilvl="1">
      <w:startOverride w:val="1"/>
      <w:lvl w:ilvl="1">
        <w:start w:val="1"/>
        <w:numFmt w:val="decimal"/>
        <w:lvlText w:val="%1.%2"/>
        <w:lvlJc w:val="left"/>
        <w:pPr>
          <w:tabs>
            <w:tab w:pos="567" w:val="num"/>
          </w:tabs>
          <w:ind w:hanging="567" w:left="567"/>
        </w:pPr>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064A06"/>
    <w:rsid w:val="001813C3"/>
    <w:rsid w:val="004C579B"/>
    <w:rsid w:val="004C6A42"/>
    <w:rsid w:val="004E29B3"/>
    <w:rsid w:val="00532319"/>
    <w:rsid w:val="00590D07"/>
    <w:rsid w:val="005A091B"/>
    <w:rsid w:val="00784D58"/>
    <w:rsid w:val="00884F3F"/>
    <w:rsid w:val="008D6863"/>
    <w:rsid w:val="008E0634"/>
    <w:rsid w:val="0097739A"/>
    <w:rsid w:val="00992B25"/>
    <w:rsid w:val="00B86B75"/>
    <w:rsid w:val="00BC48D5"/>
    <w:rsid w:val="00C36279"/>
    <w:rsid w:val="00DA425F"/>
    <w:rsid w:val="00E315A3"/>
    <w:rsid w:val="00E42740"/>
    <w:rsid w:val="00EB004E"/>
    <w:rsid w:val="00EE0E4E"/>
    <w:rsid w:val="00F87EB7"/>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1" w:uiPriority="2"/>
    <w:lsdException w:name="heading 2" w:uiPriority="2"/>
    <w:lsdException w:name="heading 3" w:uiPriority="2"/>
    <w:lsdException w:name="heading 4" w:uiPriority="2"/>
    <w:lsdException w:name="heading 5" w:uiPriority="2"/>
    <w:lsdException w:name="footnote text" w:uiPriority="99"/>
    <w:lsdException w:name="header" w:uiPriority="99"/>
    <w:lsdException w:name="footer" w:uiPriority="99"/>
    <w:lsdException w:name="caption" w:qFormat="1" w:uiPriority="35"/>
    <w:lsdException w:name="footnote reference" w:uiPriority="99"/>
    <w:lsdException w:name="Strong" w:qFormat="1" w:uiPriority="22"/>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uiPriority="3"/>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2"/>
    <w:qFormat/>
    <w:rsid w:val="0097739A"/>
    <w:pPr>
      <w:keepNext/>
      <w:keepLines/>
      <w:spacing w:after="0" w:before="480"/>
      <w:outlineLvl w:val="0"/>
    </w:pPr>
    <w:rPr>
      <w:rFonts w:asciiTheme="majorHAnsi" w:cstheme="majorBidi" w:eastAsiaTheme="majorEastAsia" w:hAnsiTheme="majorHAnsi"/>
      <w:b/>
      <w:bCs/>
      <w:sz w:val="32"/>
      <w:szCs w:val="32"/>
    </w:rPr>
  </w:style>
  <w:style w:styleId="Heading2" w:type="paragraph">
    <w:name w:val="heading 2"/>
    <w:basedOn w:val="Normal"/>
    <w:next w:val="BodyText"/>
    <w:uiPriority w:val="2"/>
    <w:unhideWhenUsed/>
    <w:qFormat/>
    <w:rsid w:val="0097739A"/>
    <w:pPr>
      <w:numPr>
        <w:ilvl w:val="1"/>
      </w:numPr>
      <w:tabs>
        <w:tab w:pos="567" w:val="num"/>
      </w:tabs>
      <w:spacing w:before="240"/>
      <w:ind w:hanging="567" w:left="567"/>
      <w:outlineLvl w:val="1"/>
    </w:pPr>
    <w:rPr>
      <w:rFonts w:ascii="Times New Roman" w:cs="Times New Roman" w:eastAsia="Cambria" w:hAnsi="Times New Roman"/>
      <w:b/>
    </w:rPr>
  </w:style>
  <w:style w:styleId="Heading3" w:type="paragraph">
    <w:name w:val="heading 3"/>
    <w:basedOn w:val="Normal"/>
    <w:next w:val="BodyText"/>
    <w:uiPriority w:val="2"/>
    <w:unhideWhenUsed/>
    <w:qFormat/>
    <w:rsid w:val="0097739A"/>
    <w:pPr>
      <w:keepNext/>
      <w:keepLines/>
      <w:numPr>
        <w:ilvl w:val="2"/>
      </w:numPr>
      <w:tabs>
        <w:tab w:pos="567" w:val="num"/>
      </w:tabs>
      <w:spacing w:after="120" w:before="40"/>
      <w:ind w:hanging="567" w:left="567"/>
      <w:outlineLvl w:val="2"/>
    </w:pPr>
    <w:rPr>
      <w:rFonts w:ascii="Times New Roman" w:cs="Times New Roman" w:eastAsia="Times New Roman" w:hAnsi="Times New Roman"/>
      <w:b/>
    </w:rPr>
  </w:style>
  <w:style w:styleId="Heading4" w:type="paragraph">
    <w:name w:val="heading 4"/>
    <w:basedOn w:val="Normal"/>
    <w:next w:val="BodyText"/>
    <w:uiPriority w:val="2"/>
    <w:unhideWhenUsed/>
    <w:qFormat/>
    <w:rsid w:val="0097739A"/>
    <w:pPr>
      <w:keepNext/>
      <w:keepLines/>
      <w:numPr>
        <w:ilvl w:val="4"/>
      </w:numPr>
      <w:tabs>
        <w:tab w:pos="567" w:val="num"/>
      </w:tabs>
      <w:spacing w:after="120" w:before="40"/>
      <w:ind w:hanging="567" w:left="567"/>
      <w:outlineLvl w:val="3"/>
    </w:pPr>
    <w:rPr>
      <w:rFonts w:ascii="Times New Roman" w:cs="Times New Roman" w:eastAsia="Times New Roman" w:hAnsi="Times New Roman"/>
      <w:b/>
      <w:iCs/>
    </w:rPr>
  </w:style>
  <w:style w:styleId="Heading5" w:type="paragraph">
    <w:name w:val="heading 5"/>
    <w:basedOn w:val="Normal"/>
    <w:next w:val="BodyText"/>
    <w:uiPriority w:val="2"/>
    <w:unhideWhenUsed/>
    <w:qFormat/>
    <w:rsid w:val="0097739A"/>
    <w:pPr>
      <w:keepNext/>
      <w:keepLines/>
      <w:spacing w:after="120" w:before="40"/>
      <w:outlineLvl w:val="4"/>
    </w:pPr>
    <w:rPr>
      <w:rFonts w:ascii="Times New Roman" w:cs="Times New Roman" w:eastAsia="Times New Roman" w:hAnsi="Times New Roman"/>
      <w:b/>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EE0E4E"/>
    <w:pPr>
      <w:spacing w:after="180" w:before="180"/>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qFormat/>
    <w:rsid w:val="0097739A"/>
    <w:pPr>
      <w:suppressLineNumbers/>
      <w:spacing w:after="360" w:before="240"/>
      <w:jc w:val="center"/>
    </w:pPr>
    <w:rPr>
      <w:rFonts w:ascii="Times New Roman" w:cs="Times New Roman" w:eastAsia="Calibri" w:hAnsi="Times New Roman"/>
      <w:b/>
      <w:sz w:val="32"/>
      <w:szCs w:val="32"/>
    </w:rPr>
  </w:style>
  <w:style w:styleId="Subtitle" w:type="paragraph">
    <w:name w:val="Subtitle"/>
    <w:basedOn w:val="Title"/>
    <w:next w:val="BodyText"/>
    <w:qFormat/>
    <w:rPr>
      <w:sz w:val="30"/>
      <w:szCs w:val="30"/>
    </w:rPr>
  </w:style>
  <w:style w:customStyle="1" w:styleId="Author" w:type="paragraph">
    <w:name w:val="Author"/>
    <w:basedOn w:val="Normal"/>
    <w:next w:val="BodyText"/>
    <w:qFormat/>
    <w:rsid w:val="008E0634"/>
    <w:pPr>
      <w:spacing w:after="240" w:before="240"/>
    </w:pPr>
    <w:rPr>
      <w:rFonts w:ascii="Times New Roman" w:cs="Times New Roman" w:eastAsia="Calibri" w:hAnsi="Times New Roman"/>
      <w:b/>
    </w:rPr>
  </w:style>
  <w:style w:styleId="Date" w:type="paragraph">
    <w:name w:val="Date"/>
    <w:next w:val="BodyText"/>
    <w:qFormat/>
    <w:pPr>
      <w:keepNext/>
      <w:keepLines/>
      <w:jc w:val="center"/>
    </w:pPr>
  </w:style>
  <w:style w:customStyle="1" w:styleId="Abstract" w:type="paragraph">
    <w:name w:val="Abstract"/>
    <w:aliases w:val="Author List,Keywords"/>
    <w:basedOn w:val="Normal"/>
    <w:next w:val="BodyText"/>
    <w:uiPriority w:val="1"/>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link w:val="FootnoteTextChar"/>
    <w:uiPriority w:val="9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uiPriority w:val="35"/>
    <w:qFormat/>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uiPriority w:val="99"/>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 w:customStyle="1" w:styleId="Headings" w:type="numbering">
    <w:name w:val="Headings"/>
    <w:uiPriority w:val="99"/>
    <w:rsid w:val="0097739A"/>
    <w:pPr>
      <w:numPr>
        <w:numId w:val="4"/>
      </w:numPr>
    </w:pPr>
  </w:style>
  <w:style w:customStyle="1" w:styleId="Headings1" w:type="numbering">
    <w:name w:val="Headings1"/>
    <w:uiPriority w:val="99"/>
    <w:rsid w:val="0097739A"/>
    <w:pPr>
      <w:numPr>
        <w:numId w:val="1"/>
      </w:numPr>
    </w:pPr>
  </w:style>
  <w:style w:styleId="ListParagraph" w:type="paragraph">
    <w:name w:val="List Paragraph"/>
    <w:basedOn w:val="Normal"/>
    <w:uiPriority w:val="3"/>
    <w:qFormat/>
    <w:rsid w:val="0097739A"/>
    <w:pPr>
      <w:numPr>
        <w:numId w:val="5"/>
      </w:numPr>
      <w:spacing w:after="240" w:before="120"/>
      <w:ind w:hanging="357" w:left="1434"/>
      <w:contextualSpacing/>
    </w:pPr>
    <w:rPr>
      <w:rFonts w:ascii="Times New Roman" w:cs="Times New Roman" w:eastAsia="Cambria" w:hAnsi="Times New Roman"/>
    </w:rPr>
  </w:style>
  <w:style w:styleId="Strong" w:type="character">
    <w:name w:val="Strong"/>
    <w:basedOn w:val="DefaultParagraphFont"/>
    <w:uiPriority w:val="22"/>
    <w:qFormat/>
    <w:rsid w:val="0097739A"/>
    <w:rPr>
      <w:rFonts w:ascii="Times New Roman" w:hAnsi="Times New Roman"/>
      <w:b/>
      <w:bCs/>
    </w:rPr>
  </w:style>
  <w:style w:styleId="Header" w:type="paragraph">
    <w:name w:val="header"/>
    <w:basedOn w:val="Normal"/>
    <w:link w:val="HeaderChar"/>
    <w:uiPriority w:val="99"/>
    <w:unhideWhenUsed/>
    <w:rsid w:val="0097739A"/>
    <w:pPr>
      <w:tabs>
        <w:tab w:pos="4844" w:val="center"/>
        <w:tab w:pos="9689" w:val="right"/>
      </w:tabs>
      <w:spacing w:after="240" w:before="120"/>
    </w:pPr>
    <w:rPr>
      <w:rFonts w:ascii="Times New Roman" w:hAnsi="Times New Roman"/>
      <w:b/>
      <w:szCs w:val="22"/>
    </w:rPr>
  </w:style>
  <w:style w:customStyle="1" w:styleId="HeaderChar" w:type="character">
    <w:name w:val="Header Char"/>
    <w:basedOn w:val="DefaultParagraphFont"/>
    <w:link w:val="Header"/>
    <w:uiPriority w:val="99"/>
    <w:rsid w:val="0097739A"/>
    <w:rPr>
      <w:rFonts w:ascii="Times New Roman" w:hAnsi="Times New Roman"/>
      <w:b/>
      <w:szCs w:val="22"/>
    </w:rPr>
  </w:style>
  <w:style w:styleId="Footer" w:type="paragraph">
    <w:name w:val="footer"/>
    <w:basedOn w:val="Normal"/>
    <w:link w:val="FooterChar"/>
    <w:uiPriority w:val="99"/>
    <w:unhideWhenUsed/>
    <w:rsid w:val="0097739A"/>
    <w:pPr>
      <w:tabs>
        <w:tab w:pos="4844" w:val="center"/>
        <w:tab w:pos="9689" w:val="right"/>
      </w:tabs>
      <w:spacing w:after="0" w:before="120"/>
    </w:pPr>
    <w:rPr>
      <w:rFonts w:ascii="Times New Roman" w:hAnsi="Times New Roman"/>
      <w:szCs w:val="22"/>
    </w:rPr>
  </w:style>
  <w:style w:customStyle="1" w:styleId="FooterChar" w:type="character">
    <w:name w:val="Footer Char"/>
    <w:basedOn w:val="DefaultParagraphFont"/>
    <w:link w:val="Footer"/>
    <w:uiPriority w:val="99"/>
    <w:rsid w:val="0097739A"/>
    <w:rPr>
      <w:rFonts w:ascii="Times New Roman" w:hAnsi="Times New Roman"/>
      <w:szCs w:val="22"/>
    </w:rPr>
  </w:style>
  <w:style w:customStyle="1" w:styleId="FootnoteTextChar" w:type="character">
    <w:name w:val="Footnote Text Char"/>
    <w:basedOn w:val="DefaultParagraphFont"/>
    <w:link w:val="FootnoteText"/>
    <w:uiPriority w:val="99"/>
    <w:rsid w:val="0097739A"/>
  </w:style>
  <w:style w:customStyle="1" w:styleId="TitleChar" w:type="character">
    <w:name w:val="Title Char"/>
    <w:basedOn w:val="DefaultParagraphFont"/>
    <w:link w:val="Title"/>
    <w:rsid w:val="0097739A"/>
    <w:rPr>
      <w:rFonts w:ascii="Times New Roman" w:cs="Times New Roman" w:eastAsia="Calibri" w:hAnsi="Times New Roman"/>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3.xml" Type="http://schemas.openxmlformats.org/officeDocument/2006/relationships/header" /><Relationship Id="rId10" Target="header2.xml" Type="http://schemas.openxmlformats.org/officeDocument/2006/relationships/header" /><Relationship Id="rId11" Target="header1.xml" Type="http://schemas.openxmlformats.org/officeDocument/2006/relationships/header" /><Relationship Id="rId12" Target="footer2.xml" Type="http://schemas.openxmlformats.org/officeDocument/2006/relationships/footer" /><Relationship Id="rId13" Target="footer1.xml" Type="http://schemas.openxmlformats.org/officeDocument/2006/relationships/footer" /><Relationship Type="http://schemas.openxmlformats.org/officeDocument/2006/relationships/image" Id="rId47" Target="media/rId47.jpg" /><Relationship Type="http://schemas.openxmlformats.org/officeDocument/2006/relationships/image" Id="rId25" Target="media/rId25.jpg" /><Relationship Type="http://schemas.openxmlformats.org/officeDocument/2006/relationships/image" Id="rId31" Target="media/rId31.png" /><Relationship Type="http://schemas.openxmlformats.org/officeDocument/2006/relationships/image" Id="rId60" Target="media/rId60.jpg" /><Relationship Type="http://schemas.openxmlformats.org/officeDocument/2006/relationships/image" Id="rId64" Target="media/rId64.jpg" /><Relationship Type="http://schemas.openxmlformats.org/officeDocument/2006/relationships/image" Id="rId55" Target="media/rId55.png" /><Relationship Type="http://schemas.openxmlformats.org/officeDocument/2006/relationships/hyperlink" Id="rId166" Target="https://doi.org/10.1002/ajpa.20618" TargetMode="External" /><Relationship Type="http://schemas.openxmlformats.org/officeDocument/2006/relationships/hyperlink" Id="rId93" Target="https://doi.org/10.1002/oa.662" TargetMode="External" /><Relationship Type="http://schemas.openxmlformats.org/officeDocument/2006/relationships/hyperlink" Id="rId102" Target="https://doi.org/10.1002/rcm.4316" TargetMode="External" /><Relationship Type="http://schemas.openxmlformats.org/officeDocument/2006/relationships/hyperlink" Id="rId109" Target="https://doi.org/10.1002/rcm.5129" TargetMode="External" /><Relationship Type="http://schemas.openxmlformats.org/officeDocument/2006/relationships/hyperlink" Id="rId242" Target="https://doi.org/10.1006/jasc.1998.0385" TargetMode="External" /><Relationship Type="http://schemas.openxmlformats.org/officeDocument/2006/relationships/hyperlink" Id="rId212" Target="https://doi.org/10.1006/jasc.1998.0387" TargetMode="External" /><Relationship Type="http://schemas.openxmlformats.org/officeDocument/2006/relationships/hyperlink" Id="rId129" Target="https://doi.org/10.1007/s00334-005-0062-2" TargetMode="External" /><Relationship Type="http://schemas.openxmlformats.org/officeDocument/2006/relationships/hyperlink" Id="rId133" Target="https://doi.org/10.1007/s00334-014-0492-9" TargetMode="External" /><Relationship Type="http://schemas.openxmlformats.org/officeDocument/2006/relationships/hyperlink" Id="rId163" Target="https://doi.org/10.1007/s004420050865" TargetMode="External" /><Relationship Type="http://schemas.openxmlformats.org/officeDocument/2006/relationships/hyperlink" Id="rId261" Target="https://doi.org/10.1007/s10963-018-09128-3" TargetMode="External" /><Relationship Type="http://schemas.openxmlformats.org/officeDocument/2006/relationships/hyperlink" Id="rId174" Target="https://doi.org/10.1007/s11104-018-3661-2" TargetMode="External" /><Relationship Type="http://schemas.openxmlformats.org/officeDocument/2006/relationships/hyperlink" Id="rId240" Target="https://doi.org/10.1007/s12520-011-0067-y" TargetMode="External" /><Relationship Type="http://schemas.openxmlformats.org/officeDocument/2006/relationships/hyperlink" Id="rId249" Target="https://doi.org/10.1016/0012-821X(82)90058-9" TargetMode="External" /><Relationship Type="http://schemas.openxmlformats.org/officeDocument/2006/relationships/hyperlink" Id="rId114" Target="https://doi.org/10.1016/0016-7037(78)90199-0" TargetMode="External" /><Relationship Type="http://schemas.openxmlformats.org/officeDocument/2006/relationships/hyperlink" Id="rId116" Target="https://doi.org/10.1016/0016-7037(81)90244-1" TargetMode="External" /><Relationship Type="http://schemas.openxmlformats.org/officeDocument/2006/relationships/hyperlink" Id="rId181" Target="https://doi.org/10.1016/0016-7061(95)00091-7" TargetMode="External" /><Relationship Type="http://schemas.openxmlformats.org/officeDocument/2006/relationships/hyperlink" Id="rId76" Target="https://doi.org/10.1016/0305-4403(90)90007-R" TargetMode="External" /><Relationship Type="http://schemas.openxmlformats.org/officeDocument/2006/relationships/hyperlink" Id="rId233" Target="https://doi.org/10.1016/0305-4403(91)90063-U" TargetMode="External" /><Relationship Type="http://schemas.openxmlformats.org/officeDocument/2006/relationships/hyperlink" Id="rId170" Target="https://doi.org/10.1016/B978-0-12-378630-2.00049-9" TargetMode="External" /><Relationship Type="http://schemas.openxmlformats.org/officeDocument/2006/relationships/hyperlink" Id="rId259" Target="https://doi.org/10.1016/B978-0-12-384947-2.00647-4" TargetMode="External" /><Relationship Type="http://schemas.openxmlformats.org/officeDocument/2006/relationships/hyperlink" Id="rId235" Target="https://doi.org/10.1016/B978-0-443-10344-5.00014-8" TargetMode="External" /><Relationship Type="http://schemas.openxmlformats.org/officeDocument/2006/relationships/hyperlink" Id="rId218" Target="https://doi.org/10.1016/S0047-2484(85)80030-0" TargetMode="External" /><Relationship Type="http://schemas.openxmlformats.org/officeDocument/2006/relationships/hyperlink" Id="rId131" Target="https://doi.org/10.1016/S1936-7961(07)01020-2" TargetMode="External" /><Relationship Type="http://schemas.openxmlformats.org/officeDocument/2006/relationships/hyperlink" Id="rId193" Target="https://doi.org/10.1016/j.atmosenv.2005.09.085" TargetMode="External" /><Relationship Type="http://schemas.openxmlformats.org/officeDocument/2006/relationships/hyperlink" Id="rId184" Target="https://doi.org/10.1016/j.earscirev.2014.12.002" TargetMode="External" /><Relationship Type="http://schemas.openxmlformats.org/officeDocument/2006/relationships/hyperlink" Id="rId91" Target="https://doi.org/10.1016/j.jas.2004.11.013" TargetMode="External" /><Relationship Type="http://schemas.openxmlformats.org/officeDocument/2006/relationships/hyperlink" Id="rId98" Target="https://doi.org/10.1016/j.jas.2006.04.009" TargetMode="External" /><Relationship Type="http://schemas.openxmlformats.org/officeDocument/2006/relationships/hyperlink" Id="rId161" Target="https://doi.org/10.1016/j.jas.2006.10.015" TargetMode="External" /><Relationship Type="http://schemas.openxmlformats.org/officeDocument/2006/relationships/hyperlink" Id="rId104" Target="https://doi.org/10.1016/j.jas.2009.08.020" TargetMode="External" /><Relationship Type="http://schemas.openxmlformats.org/officeDocument/2006/relationships/hyperlink" Id="rId142" Target="https://doi.org/10.1016/j.jas.2010.06.003" TargetMode="External" /><Relationship Type="http://schemas.openxmlformats.org/officeDocument/2006/relationships/hyperlink" Id="rId138" Target="https://doi.org/10.1016/j.jas.2011.06.024" TargetMode="External" /><Relationship Type="http://schemas.openxmlformats.org/officeDocument/2006/relationships/hyperlink" Id="rId140" Target="https://doi.org/10.1016/j.jas.2013.01.032" TargetMode="External" /><Relationship Type="http://schemas.openxmlformats.org/officeDocument/2006/relationships/hyperlink" Id="rId100" Target="https://doi.org/10.1016/j.jas.2013.03.028" TargetMode="External" /><Relationship Type="http://schemas.openxmlformats.org/officeDocument/2006/relationships/hyperlink" Id="rId209" Target="https://doi.org/10.1016/j.jas.2013.04.015" TargetMode="External" /><Relationship Type="http://schemas.openxmlformats.org/officeDocument/2006/relationships/hyperlink" Id="rId158" Target="https://doi.org/10.1016/j.jas.2018.04.006" TargetMode="External" /><Relationship Type="http://schemas.openxmlformats.org/officeDocument/2006/relationships/hyperlink" Id="rId221" Target="https://doi.org/10.1016/j.jas.2018.09.006" TargetMode="External" /><Relationship Type="http://schemas.openxmlformats.org/officeDocument/2006/relationships/hyperlink" Id="rId156" Target="https://doi.org/10.1016/j.jas.2020.105295" TargetMode="External" /><Relationship Type="http://schemas.openxmlformats.org/officeDocument/2006/relationships/hyperlink" Id="rId154" Target="https://doi.org/10.1016/j.jas.2021.105416" TargetMode="External" /><Relationship Type="http://schemas.openxmlformats.org/officeDocument/2006/relationships/hyperlink" Id="rId201" Target="https://doi.org/10.1016/j.jasrep.2017.05.034" TargetMode="External" /><Relationship Type="http://schemas.openxmlformats.org/officeDocument/2006/relationships/hyperlink" Id="rId264" Target="https://doi.org/10.1016/j.jasrep.2018.03.033" TargetMode="External" /><Relationship Type="http://schemas.openxmlformats.org/officeDocument/2006/relationships/hyperlink" Id="rId127" Target="https://doi.org/10.1016/j.jasrep.2019.102037" TargetMode="External" /><Relationship Type="http://schemas.openxmlformats.org/officeDocument/2006/relationships/hyperlink" Id="rId214" Target="https://doi.org/10.1016/j.quaint.2007.08.005" TargetMode="External" /><Relationship Type="http://schemas.openxmlformats.org/officeDocument/2006/relationships/hyperlink" Id="rId197" Target="https://doi.org/10.1016/j.quaint.2017.09.037" TargetMode="External" /><Relationship Type="http://schemas.openxmlformats.org/officeDocument/2006/relationships/hyperlink" Id="rId231" Target="https://doi.org/10.1017/ppr.2017.3" TargetMode="External" /><Relationship Type="http://schemas.openxmlformats.org/officeDocument/2006/relationships/hyperlink" Id="rId227" Target="https://doi.org/10.1021/ac100818g" TargetMode="External" /><Relationship Type="http://schemas.openxmlformats.org/officeDocument/2006/relationships/hyperlink" Id="rId172" Target="https://doi.org/10.1038/230241a0" TargetMode="External" /><Relationship Type="http://schemas.openxmlformats.org/officeDocument/2006/relationships/hyperlink" Id="rId125" Target="https://doi.org/10.1071/PP9820121" TargetMode="External" /><Relationship Type="http://schemas.openxmlformats.org/officeDocument/2006/relationships/hyperlink" Id="rId168" Target="https://doi.org/10.1073/pnas.1004933107" TargetMode="External" /><Relationship Type="http://schemas.openxmlformats.org/officeDocument/2006/relationships/hyperlink" Id="rId96" Target="https://doi.org/10.1073/pnas.1305918110" TargetMode="External" /><Relationship Type="http://schemas.openxmlformats.org/officeDocument/2006/relationships/hyperlink" Id="rId121" Target="https://doi.org/10.1073/pnas.1817951116" TargetMode="External" /><Relationship Type="http://schemas.openxmlformats.org/officeDocument/2006/relationships/hyperlink" Id="rId119" Target="https://doi.org/10.1079/9780851993959.0001" TargetMode="External" /><Relationship Type="http://schemas.openxmlformats.org/officeDocument/2006/relationships/hyperlink" Id="rId199" Target="https://doi.org/10.1080/00063659709461037" TargetMode="External" /><Relationship Type="http://schemas.openxmlformats.org/officeDocument/2006/relationships/hyperlink" Id="rId251" Target="https://doi.org/10.1080/00438243.2013.821671" TargetMode="External" /><Relationship Type="http://schemas.openxmlformats.org/officeDocument/2006/relationships/hyperlink" Id="rId147" Target="https://doi.org/10.1080/00438243.2019.1604258" TargetMode="External" /><Relationship Type="http://schemas.openxmlformats.org/officeDocument/2006/relationships/hyperlink" Id="rId255" Target="https://doi.org/10.1080/20548923.2016.1275477" TargetMode="External" /><Relationship Type="http://schemas.openxmlformats.org/officeDocument/2006/relationships/hyperlink" Id="rId229" Target="https://doi.org/10.1086/274288" TargetMode="External" /><Relationship Type="http://schemas.openxmlformats.org/officeDocument/2006/relationships/hyperlink" Id="rId150" Target="https://doi.org/10.1109/TVCG.2016.2598918" TargetMode="External" /><Relationship Type="http://schemas.openxmlformats.org/officeDocument/2006/relationships/hyperlink" Id="rId253" Target="https://doi.org/10.1111/arcm.12159" TargetMode="External" /><Relationship Type="http://schemas.openxmlformats.org/officeDocument/2006/relationships/hyperlink" Id="rId191" Target="https://doi.org/10.1111/arcm.12388" TargetMode="External" /><Relationship Type="http://schemas.openxmlformats.org/officeDocument/2006/relationships/hyperlink" Id="rId203" Target="https://doi.org/10.1111/j.1095-8339.2010.01062.x" TargetMode="External" /><Relationship Type="http://schemas.openxmlformats.org/officeDocument/2006/relationships/hyperlink" Id="rId245" Target="https://doi.org/10.1111/j.1095-9270.2009.00224.x" TargetMode="External" /><Relationship Type="http://schemas.openxmlformats.org/officeDocument/2006/relationships/hyperlink" Id="rId145" Target="https://doi.org/10.1111/j.1365-2907.2001.00090.x" TargetMode="External" /><Relationship Type="http://schemas.openxmlformats.org/officeDocument/2006/relationships/hyperlink" Id="rId123" Target="https://doi.org/10.1146/annurev.pp.40.060189.002443" TargetMode="External" /><Relationship Type="http://schemas.openxmlformats.org/officeDocument/2006/relationships/hyperlink" Id="rId136" Target="https://doi.org/10.1177/0959683607077027" TargetMode="External" /><Relationship Type="http://schemas.openxmlformats.org/officeDocument/2006/relationships/hyperlink" Id="rId189" Target="https://doi.org/10.1179/2054892315Y.0000000001" TargetMode="External" /><Relationship Type="http://schemas.openxmlformats.org/officeDocument/2006/relationships/hyperlink" Id="rId205" Target="https://doi.org/10.13140/RG.2.2.25361.63848" TargetMode="External" /><Relationship Type="http://schemas.openxmlformats.org/officeDocument/2006/relationships/hyperlink" Id="rId152" Target="https://doi.org/10.2307/2405049" TargetMode="External" /><Relationship Type="http://schemas.openxmlformats.org/officeDocument/2006/relationships/hyperlink" Id="rId107" Target="https://doi.org/10.4319/lo.2002.47.3.0713" TargetMode="External" /><Relationship Type="http://schemas.openxmlformats.org/officeDocument/2006/relationships/hyperlink" Id="rId257" Target="https://ggplot2.tidyverse.org" TargetMode="External" /><Relationship Type="http://schemas.openxmlformats.org/officeDocument/2006/relationships/hyperlink" Id="rId74" Target="https://osf.io/gntzb/" TargetMode="External" /><Relationship Type="http://schemas.openxmlformats.org/officeDocument/2006/relationships/hyperlink" Id="rId20" Target="mailto:roshan_paladugu@eva.mpg.de" TargetMode="External" /></Relationships>
</file>

<file path=word/_rels/footnotes.xml.rels><?xml version="1.0" encoding="UTF-8"?><Relationships xmlns="http://schemas.openxmlformats.org/package/2006/relationships"><Relationship Type="http://schemas.openxmlformats.org/officeDocument/2006/relationships/hyperlink" Id="rId166" Target="https://doi.org/10.1002/ajpa.20618" TargetMode="External" /><Relationship Type="http://schemas.openxmlformats.org/officeDocument/2006/relationships/hyperlink" Id="rId93" Target="https://doi.org/10.1002/oa.662" TargetMode="External" /><Relationship Type="http://schemas.openxmlformats.org/officeDocument/2006/relationships/hyperlink" Id="rId102" Target="https://doi.org/10.1002/rcm.4316" TargetMode="External" /><Relationship Type="http://schemas.openxmlformats.org/officeDocument/2006/relationships/hyperlink" Id="rId109" Target="https://doi.org/10.1002/rcm.5129" TargetMode="External" /><Relationship Type="http://schemas.openxmlformats.org/officeDocument/2006/relationships/hyperlink" Id="rId242" Target="https://doi.org/10.1006/jasc.1998.0385" TargetMode="External" /><Relationship Type="http://schemas.openxmlformats.org/officeDocument/2006/relationships/hyperlink" Id="rId212" Target="https://doi.org/10.1006/jasc.1998.0387" TargetMode="External" /><Relationship Type="http://schemas.openxmlformats.org/officeDocument/2006/relationships/hyperlink" Id="rId129" Target="https://doi.org/10.1007/s00334-005-0062-2" TargetMode="External" /><Relationship Type="http://schemas.openxmlformats.org/officeDocument/2006/relationships/hyperlink" Id="rId133" Target="https://doi.org/10.1007/s00334-014-0492-9" TargetMode="External" /><Relationship Type="http://schemas.openxmlformats.org/officeDocument/2006/relationships/hyperlink" Id="rId163" Target="https://doi.org/10.1007/s004420050865" TargetMode="External" /><Relationship Type="http://schemas.openxmlformats.org/officeDocument/2006/relationships/hyperlink" Id="rId261" Target="https://doi.org/10.1007/s10963-018-09128-3" TargetMode="External" /><Relationship Type="http://schemas.openxmlformats.org/officeDocument/2006/relationships/hyperlink" Id="rId174" Target="https://doi.org/10.1007/s11104-018-3661-2" TargetMode="External" /><Relationship Type="http://schemas.openxmlformats.org/officeDocument/2006/relationships/hyperlink" Id="rId240" Target="https://doi.org/10.1007/s12520-011-0067-y" TargetMode="External" /><Relationship Type="http://schemas.openxmlformats.org/officeDocument/2006/relationships/hyperlink" Id="rId249" Target="https://doi.org/10.1016/0012-821X(82)90058-9" TargetMode="External" /><Relationship Type="http://schemas.openxmlformats.org/officeDocument/2006/relationships/hyperlink" Id="rId114" Target="https://doi.org/10.1016/0016-7037(78)90199-0" TargetMode="External" /><Relationship Type="http://schemas.openxmlformats.org/officeDocument/2006/relationships/hyperlink" Id="rId116" Target="https://doi.org/10.1016/0016-7037(81)90244-1" TargetMode="External" /><Relationship Type="http://schemas.openxmlformats.org/officeDocument/2006/relationships/hyperlink" Id="rId181" Target="https://doi.org/10.1016/0016-7061(95)00091-7" TargetMode="External" /><Relationship Type="http://schemas.openxmlformats.org/officeDocument/2006/relationships/hyperlink" Id="rId76" Target="https://doi.org/10.1016/0305-4403(90)90007-R" TargetMode="External" /><Relationship Type="http://schemas.openxmlformats.org/officeDocument/2006/relationships/hyperlink" Id="rId233" Target="https://doi.org/10.1016/0305-4403(91)90063-U" TargetMode="External" /><Relationship Type="http://schemas.openxmlformats.org/officeDocument/2006/relationships/hyperlink" Id="rId170" Target="https://doi.org/10.1016/B978-0-12-378630-2.00049-9" TargetMode="External" /><Relationship Type="http://schemas.openxmlformats.org/officeDocument/2006/relationships/hyperlink" Id="rId259" Target="https://doi.org/10.1016/B978-0-12-384947-2.00647-4" TargetMode="External" /><Relationship Type="http://schemas.openxmlformats.org/officeDocument/2006/relationships/hyperlink" Id="rId235" Target="https://doi.org/10.1016/B978-0-443-10344-5.00014-8" TargetMode="External" /><Relationship Type="http://schemas.openxmlformats.org/officeDocument/2006/relationships/hyperlink" Id="rId218" Target="https://doi.org/10.1016/S0047-2484(85)80030-0" TargetMode="External" /><Relationship Type="http://schemas.openxmlformats.org/officeDocument/2006/relationships/hyperlink" Id="rId131" Target="https://doi.org/10.1016/S1936-7961(07)01020-2" TargetMode="External" /><Relationship Type="http://schemas.openxmlformats.org/officeDocument/2006/relationships/hyperlink" Id="rId193" Target="https://doi.org/10.1016/j.atmosenv.2005.09.085" TargetMode="External" /><Relationship Type="http://schemas.openxmlformats.org/officeDocument/2006/relationships/hyperlink" Id="rId184" Target="https://doi.org/10.1016/j.earscirev.2014.12.002" TargetMode="External" /><Relationship Type="http://schemas.openxmlformats.org/officeDocument/2006/relationships/hyperlink" Id="rId91" Target="https://doi.org/10.1016/j.jas.2004.11.013" TargetMode="External" /><Relationship Type="http://schemas.openxmlformats.org/officeDocument/2006/relationships/hyperlink" Id="rId98" Target="https://doi.org/10.1016/j.jas.2006.04.009" TargetMode="External" /><Relationship Type="http://schemas.openxmlformats.org/officeDocument/2006/relationships/hyperlink" Id="rId161" Target="https://doi.org/10.1016/j.jas.2006.10.015" TargetMode="External" /><Relationship Type="http://schemas.openxmlformats.org/officeDocument/2006/relationships/hyperlink" Id="rId104" Target="https://doi.org/10.1016/j.jas.2009.08.020" TargetMode="External" /><Relationship Type="http://schemas.openxmlformats.org/officeDocument/2006/relationships/hyperlink" Id="rId142" Target="https://doi.org/10.1016/j.jas.2010.06.003" TargetMode="External" /><Relationship Type="http://schemas.openxmlformats.org/officeDocument/2006/relationships/hyperlink" Id="rId138" Target="https://doi.org/10.1016/j.jas.2011.06.024" TargetMode="External" /><Relationship Type="http://schemas.openxmlformats.org/officeDocument/2006/relationships/hyperlink" Id="rId140" Target="https://doi.org/10.1016/j.jas.2013.01.032" TargetMode="External" /><Relationship Type="http://schemas.openxmlformats.org/officeDocument/2006/relationships/hyperlink" Id="rId100" Target="https://doi.org/10.1016/j.jas.2013.03.028" TargetMode="External" /><Relationship Type="http://schemas.openxmlformats.org/officeDocument/2006/relationships/hyperlink" Id="rId209" Target="https://doi.org/10.1016/j.jas.2013.04.015" TargetMode="External" /><Relationship Type="http://schemas.openxmlformats.org/officeDocument/2006/relationships/hyperlink" Id="rId158" Target="https://doi.org/10.1016/j.jas.2018.04.006" TargetMode="External" /><Relationship Type="http://schemas.openxmlformats.org/officeDocument/2006/relationships/hyperlink" Id="rId221" Target="https://doi.org/10.1016/j.jas.2018.09.006" TargetMode="External" /><Relationship Type="http://schemas.openxmlformats.org/officeDocument/2006/relationships/hyperlink" Id="rId156" Target="https://doi.org/10.1016/j.jas.2020.105295" TargetMode="External" /><Relationship Type="http://schemas.openxmlformats.org/officeDocument/2006/relationships/hyperlink" Id="rId154" Target="https://doi.org/10.1016/j.jas.2021.105416" TargetMode="External" /><Relationship Type="http://schemas.openxmlformats.org/officeDocument/2006/relationships/hyperlink" Id="rId201" Target="https://doi.org/10.1016/j.jasrep.2017.05.034" TargetMode="External" /><Relationship Type="http://schemas.openxmlformats.org/officeDocument/2006/relationships/hyperlink" Id="rId264" Target="https://doi.org/10.1016/j.jasrep.2018.03.033" TargetMode="External" /><Relationship Type="http://schemas.openxmlformats.org/officeDocument/2006/relationships/hyperlink" Id="rId127" Target="https://doi.org/10.1016/j.jasrep.2019.102037" TargetMode="External" /><Relationship Type="http://schemas.openxmlformats.org/officeDocument/2006/relationships/hyperlink" Id="rId214" Target="https://doi.org/10.1016/j.quaint.2007.08.005" TargetMode="External" /><Relationship Type="http://schemas.openxmlformats.org/officeDocument/2006/relationships/hyperlink" Id="rId197" Target="https://doi.org/10.1016/j.quaint.2017.09.037" TargetMode="External" /><Relationship Type="http://schemas.openxmlformats.org/officeDocument/2006/relationships/hyperlink" Id="rId231" Target="https://doi.org/10.1017/ppr.2017.3" TargetMode="External" /><Relationship Type="http://schemas.openxmlformats.org/officeDocument/2006/relationships/hyperlink" Id="rId227" Target="https://doi.org/10.1021/ac100818g" TargetMode="External" /><Relationship Type="http://schemas.openxmlformats.org/officeDocument/2006/relationships/hyperlink" Id="rId172" Target="https://doi.org/10.1038/230241a0" TargetMode="External" /><Relationship Type="http://schemas.openxmlformats.org/officeDocument/2006/relationships/hyperlink" Id="rId125" Target="https://doi.org/10.1071/PP9820121" TargetMode="External" /><Relationship Type="http://schemas.openxmlformats.org/officeDocument/2006/relationships/hyperlink" Id="rId168" Target="https://doi.org/10.1073/pnas.1004933107" TargetMode="External" /><Relationship Type="http://schemas.openxmlformats.org/officeDocument/2006/relationships/hyperlink" Id="rId96" Target="https://doi.org/10.1073/pnas.1305918110" TargetMode="External" /><Relationship Type="http://schemas.openxmlformats.org/officeDocument/2006/relationships/hyperlink" Id="rId121" Target="https://doi.org/10.1073/pnas.1817951116" TargetMode="External" /><Relationship Type="http://schemas.openxmlformats.org/officeDocument/2006/relationships/hyperlink" Id="rId119" Target="https://doi.org/10.1079/9780851993959.0001" TargetMode="External" /><Relationship Type="http://schemas.openxmlformats.org/officeDocument/2006/relationships/hyperlink" Id="rId199" Target="https://doi.org/10.1080/00063659709461037" TargetMode="External" /><Relationship Type="http://schemas.openxmlformats.org/officeDocument/2006/relationships/hyperlink" Id="rId251" Target="https://doi.org/10.1080/00438243.2013.821671" TargetMode="External" /><Relationship Type="http://schemas.openxmlformats.org/officeDocument/2006/relationships/hyperlink" Id="rId147" Target="https://doi.org/10.1080/00438243.2019.1604258" TargetMode="External" /><Relationship Type="http://schemas.openxmlformats.org/officeDocument/2006/relationships/hyperlink" Id="rId255" Target="https://doi.org/10.1080/20548923.2016.1275477" TargetMode="External" /><Relationship Type="http://schemas.openxmlformats.org/officeDocument/2006/relationships/hyperlink" Id="rId229" Target="https://doi.org/10.1086/274288" TargetMode="External" /><Relationship Type="http://schemas.openxmlformats.org/officeDocument/2006/relationships/hyperlink" Id="rId150" Target="https://doi.org/10.1109/TVCG.2016.2598918" TargetMode="External" /><Relationship Type="http://schemas.openxmlformats.org/officeDocument/2006/relationships/hyperlink" Id="rId253" Target="https://doi.org/10.1111/arcm.12159" TargetMode="External" /><Relationship Type="http://schemas.openxmlformats.org/officeDocument/2006/relationships/hyperlink" Id="rId191" Target="https://doi.org/10.1111/arcm.12388" TargetMode="External" /><Relationship Type="http://schemas.openxmlformats.org/officeDocument/2006/relationships/hyperlink" Id="rId203" Target="https://doi.org/10.1111/j.1095-8339.2010.01062.x" TargetMode="External" /><Relationship Type="http://schemas.openxmlformats.org/officeDocument/2006/relationships/hyperlink" Id="rId245" Target="https://doi.org/10.1111/j.1095-9270.2009.00224.x" TargetMode="External" /><Relationship Type="http://schemas.openxmlformats.org/officeDocument/2006/relationships/hyperlink" Id="rId145" Target="https://doi.org/10.1111/j.1365-2907.2001.00090.x" TargetMode="External" /><Relationship Type="http://schemas.openxmlformats.org/officeDocument/2006/relationships/hyperlink" Id="rId123" Target="https://doi.org/10.1146/annurev.pp.40.060189.002443" TargetMode="External" /><Relationship Type="http://schemas.openxmlformats.org/officeDocument/2006/relationships/hyperlink" Id="rId136" Target="https://doi.org/10.1177/0959683607077027" TargetMode="External" /><Relationship Type="http://schemas.openxmlformats.org/officeDocument/2006/relationships/hyperlink" Id="rId189" Target="https://doi.org/10.1179/2054892315Y.0000000001" TargetMode="External" /><Relationship Type="http://schemas.openxmlformats.org/officeDocument/2006/relationships/hyperlink" Id="rId205" Target="https://doi.org/10.13140/RG.2.2.25361.63848" TargetMode="External" /><Relationship Type="http://schemas.openxmlformats.org/officeDocument/2006/relationships/hyperlink" Id="rId152" Target="https://doi.org/10.2307/2405049" TargetMode="External" /><Relationship Type="http://schemas.openxmlformats.org/officeDocument/2006/relationships/hyperlink" Id="rId107" Target="https://doi.org/10.4319/lo.2002.47.3.0713" TargetMode="External" /><Relationship Type="http://schemas.openxmlformats.org/officeDocument/2006/relationships/hyperlink" Id="rId257" Target="https://ggplot2.tidyverse.org" TargetMode="External" /><Relationship Type="http://schemas.openxmlformats.org/officeDocument/2006/relationships/hyperlink" Id="rId74" Target="https://osf.io/gntzb/" TargetMode="External" /><Relationship Type="http://schemas.openxmlformats.org/officeDocument/2006/relationships/hyperlink" Id="rId20" Target="mailto:roshan_paladugu@eva.mpg.de"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TotalTime>
  <Pages>3</Pages>
  <Words>869</Words>
  <Characters>4956</Characters>
  <Application>Microsoft Office Word</Application>
  <DocSecurity>0</DocSecurity>
  <Lines>41</Lines>
  <Paragraphs>11</Paragraphs>
  <ScaleCrop>false</ScaleCrop>
  <Company>University of Wollongong</Company>
  <LinksUpToDate>false</LinksUpToDate>
  <CharactersWithSpaces>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Insights into agricultural practices at the Phoenician site of Castro Marim between 7th – 5th century BCE</dc:title>
  <dc:creator>Roshan Paladugu1,✉, Alessandra Celant2, Gopesh Jha3, Federico Di Rita2, Elisa de Sousa4, Ana Margarida Arruda4, Anne-France Maurer5, Donatella Magri2, and Cristina Barrocas Dias5,6</dc:creator>
  <cp:keywords>Archaeobotany, Zooarchaeology, Agriculture, Portugal, Iron Age</cp:keywords>
  <dcterms:created xsi:type="dcterms:W3CDTF">2024-10-15T19:39:35Z</dcterms:created>
  <dcterms:modified xsi:type="dcterms:W3CDTF">2024-10-15T19:39:35Z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Castro Marim is an Iron Age site from the Algarve region, Portugal. The earliest evidence of settlement, from the Late Bronze Age, dates to the 9th century BCE, with the Phoenician-Punic period dating from the 7th to the 3rd century BCE. This study focuses on the stable isotope analysis of plant and collagen of faunal remains to reconstruct cultivation and husbandry practices. Barley was the most abundantly cultivated cereal crop. The stable isotope results of barley indicate that the primary source of water was natural precipitation and the soil nitrogen was enriched through manuring. The differences from stable isotope data of domesticated fauna indicate a diverse management strategy for different species based on their economic importance to capitalize from the animal by-products such as wool and dairy products.</vt:lpwstr>
  </property>
  <property fmtid="{D5CDD505-2E9C-101B-9397-08002B2CF9AE}" pid="3" name="always_allow_html">
    <vt:lpwstr>True</vt:lpwstr>
  </property>
  <property fmtid="{D5CDD505-2E9C-101B-9397-08002B2CF9AE}" pid="4" name="autoEqnLabels">
    <vt:lpwstr>False</vt:lpwstr>
  </property>
  <property fmtid="{D5CDD505-2E9C-101B-9397-08002B2CF9AE}" pid="5" name="autoSectionLabels">
    <vt:lpwstr>False</vt:lpwstr>
  </property>
  <property fmtid="{D5CDD505-2E9C-101B-9397-08002B2CF9AE}" pid="6" name="bibliography">
    <vt:lpwstr>bibliography.bib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frontiers-in-chemistry.csl</vt:lpwstr>
  </property>
  <property fmtid="{D5CDD505-2E9C-101B-9397-08002B2CF9AE}" pid="17" name="date">
    <vt:lpwstr>15 October, 2024</vt:lpwstr>
  </property>
  <property fmtid="{D5CDD505-2E9C-101B-9397-08002B2CF9AE}" pid="18" name="eqLabels">
    <vt:lpwstr>arabic</vt:lpwstr>
  </property>
  <property fmtid="{D5CDD505-2E9C-101B-9397-08002B2CF9AE}" pid="19" name="eqnBlockInlineMath">
    <vt:lpwstr>False</vt:lpwstr>
  </property>
  <property fmtid="{D5CDD505-2E9C-101B-9397-08002B2CF9AE}" pid="20" name="eqnBlockTemplate">
    <vt:lpwstr>ti</vt:lpwstr>
  </property>
  <property fmtid="{D5CDD505-2E9C-101B-9397-08002B2CF9AE}" pid="21" name="eqnIndexTemplate">
    <vt:lpwstr>(i)</vt:lpwstr>
  </property>
  <property fmtid="{D5CDD505-2E9C-101B-9397-08002B2CF9AE}" pid="22" name="eqnInlineTemplate">
    <vt:lpwstr>eequationNumberTeX{i}</vt:lpwstr>
  </property>
  <property fmtid="{D5CDD505-2E9C-101B-9397-08002B2CF9AE}" pid="23" name="eqnPrefix">
    <vt:lpwstr/>
  </property>
  <property fmtid="{D5CDD505-2E9C-101B-9397-08002B2CF9AE}" pid="24" name="eqnPrefixTemplate">
    <vt:lpwstr>p i</vt:lpwstr>
  </property>
  <property fmtid="{D5CDD505-2E9C-101B-9397-08002B2CF9AE}" pid="25" name="equationNumberTeX">
    <vt:lpwstr>\qquad</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k-citations">
    <vt:lpwstr>True</vt:lpwstr>
  </property>
  <property fmtid="{D5CDD505-2E9C-101B-9397-08002B2CF9AE}" pid="33" name="linkReferences">
    <vt:lpwstr>False</vt:lpwstr>
  </property>
  <property fmtid="{D5CDD505-2E9C-101B-9397-08002B2CF9AE}" pid="34" name="listItemTitleDelim">
    <vt:lpwstr>.</vt:lpwstr>
  </property>
  <property fmtid="{D5CDD505-2E9C-101B-9397-08002B2CF9AE}" pid="35" name="listingTemplate">
    <vt:lpwstr>listingTitle ititleDelim t</vt:lpwstr>
  </property>
  <property fmtid="{D5CDD505-2E9C-101B-9397-08002B2CF9AE}" pid="36" name="listingTitle">
    <vt:lpwstr>Listing</vt:lpwstr>
  </property>
  <property fmtid="{D5CDD505-2E9C-101B-9397-08002B2CF9AE}" pid="37" name="listings">
    <vt:lpwstr>False</vt:lpwstr>
  </property>
  <property fmtid="{D5CDD505-2E9C-101B-9397-08002B2CF9AE}" pid="38" name="lofItemTemplate">
    <vt:lpwstr>lofItemTitleilistItemTitleDelimt </vt:lpwstr>
  </property>
  <property fmtid="{D5CDD505-2E9C-101B-9397-08002B2CF9AE}" pid="39" name="lofItemTitle">
    <vt:lpwstr/>
  </property>
  <property fmtid="{D5CDD505-2E9C-101B-9397-08002B2CF9AE}" pid="40" name="lofTitle">
    <vt:lpwstr>List of Figures</vt:lpwstr>
  </property>
  <property fmtid="{D5CDD505-2E9C-101B-9397-08002B2CF9AE}" pid="41" name="lolItemTemplate">
    <vt:lpwstr>lolItemTitleilistItemTitleDelimt </vt:lpwstr>
  </property>
  <property fmtid="{D5CDD505-2E9C-101B-9397-08002B2CF9AE}" pid="42" name="lolItemTitle">
    <vt:lpwstr/>
  </property>
  <property fmtid="{D5CDD505-2E9C-101B-9397-08002B2CF9AE}" pid="43" name="lolTitle">
    <vt:lpwstr>List of Listings</vt:lpwstr>
  </property>
  <property fmtid="{D5CDD505-2E9C-101B-9397-08002B2CF9AE}" pid="44" name="lotItemTemplate">
    <vt:lpwstr>lotItemTitleilistItemTitleDelimt </vt:lpwstr>
  </property>
  <property fmtid="{D5CDD505-2E9C-101B-9397-08002B2CF9AE}" pid="45" name="lotItemTitle">
    <vt:lpwstr/>
  </property>
  <property fmtid="{D5CDD505-2E9C-101B-9397-08002B2CF9AE}" pid="46" name="lotTitle">
    <vt:lpwstr>List of Tables</vt:lpwstr>
  </property>
  <property fmtid="{D5CDD505-2E9C-101B-9397-08002B2CF9AE}" pid="47" name="lstLabels">
    <vt:lpwstr>arabic</vt:lpwstr>
  </property>
  <property fmtid="{D5CDD505-2E9C-101B-9397-08002B2CF9AE}" pid="48" name="lstPrefix">
    <vt:lpwstr/>
  </property>
  <property fmtid="{D5CDD505-2E9C-101B-9397-08002B2CF9AE}" pid="49" name="lstPrefixTemplate">
    <vt:lpwstr>p i</vt:lpwstr>
  </property>
  <property fmtid="{D5CDD505-2E9C-101B-9397-08002B2CF9AE}" pid="50" name="nameInLink">
    <vt:lpwstr>False</vt:lpwstr>
  </property>
  <property fmtid="{D5CDD505-2E9C-101B-9397-08002B2CF9AE}" pid="51" name="numberSections">
    <vt:lpwstr>False</vt:lpwstr>
  </property>
  <property fmtid="{D5CDD505-2E9C-101B-9397-08002B2CF9AE}" pid="52" name="output">
    <vt:lpwstr/>
  </property>
  <property fmtid="{D5CDD505-2E9C-101B-9397-08002B2CF9AE}" pid="53" name="pairDelim">
    <vt:lpwstr>, </vt:lpwstr>
  </property>
  <property fmtid="{D5CDD505-2E9C-101B-9397-08002B2CF9AE}" pid="54" name="rangeDelim">
    <vt:lpwstr>-</vt:lpwstr>
  </property>
  <property fmtid="{D5CDD505-2E9C-101B-9397-08002B2CF9AE}" pid="55" name="refDelim">
    <vt:lpwstr>, </vt:lpwstr>
  </property>
  <property fmtid="{D5CDD505-2E9C-101B-9397-08002B2CF9AE}" pid="56" name="refIndexTemplate">
    <vt:lpwstr>isuf</vt:lpwstr>
  </property>
  <property fmtid="{D5CDD505-2E9C-101B-9397-08002B2CF9AE}" pid="57" name="secHeaderDelim">
    <vt:lpwstr> </vt:lpwstr>
  </property>
  <property fmtid="{D5CDD505-2E9C-101B-9397-08002B2CF9AE}" pid="58" name="secHeaderTemplate">
    <vt:lpwstr>isecHeaderDelim[n]t</vt:lpwstr>
  </property>
  <property fmtid="{D5CDD505-2E9C-101B-9397-08002B2CF9AE}" pid="59" name="secLabels">
    <vt:lpwstr>arabic</vt:lpwstr>
  </property>
  <property fmtid="{D5CDD505-2E9C-101B-9397-08002B2CF9AE}" pid="60" name="secPrefix">
    <vt:lpwstr/>
  </property>
  <property fmtid="{D5CDD505-2E9C-101B-9397-08002B2CF9AE}" pid="61" name="secPrefixTemplate">
    <vt:lpwstr>p i</vt:lpwstr>
  </property>
  <property fmtid="{D5CDD505-2E9C-101B-9397-08002B2CF9AE}" pid="62" name="sectionsDepth">
    <vt:lpwstr>0</vt:lpwstr>
  </property>
  <property fmtid="{D5CDD505-2E9C-101B-9397-08002B2CF9AE}" pid="63" name="subfigGrid">
    <vt:lpwstr>False</vt:lpwstr>
  </property>
  <property fmtid="{D5CDD505-2E9C-101B-9397-08002B2CF9AE}" pid="64" name="subfigLabels">
    <vt:lpwstr>alpha a</vt:lpwstr>
  </property>
  <property fmtid="{D5CDD505-2E9C-101B-9397-08002B2CF9AE}" pid="65" name="subfigureChildTemplate">
    <vt:lpwstr>i</vt:lpwstr>
  </property>
  <property fmtid="{D5CDD505-2E9C-101B-9397-08002B2CF9AE}" pid="66" name="subfigureRefIndexTemplate">
    <vt:lpwstr>isuf (s)</vt:lpwstr>
  </property>
  <property fmtid="{D5CDD505-2E9C-101B-9397-08002B2CF9AE}" pid="67" name="subfigureTemplate">
    <vt:lpwstr>figureTitle ititleDelim t. ccs</vt:lpwstr>
  </property>
  <property fmtid="{D5CDD505-2E9C-101B-9397-08002B2CF9AE}" pid="68" name="tableEqns">
    <vt:lpwstr>False</vt:lpwstr>
  </property>
  <property fmtid="{D5CDD505-2E9C-101B-9397-08002B2CF9AE}" pid="69" name="tableTemplate">
    <vt:lpwstr>tableTitle ititleDelim t</vt:lpwstr>
  </property>
  <property fmtid="{D5CDD505-2E9C-101B-9397-08002B2CF9AE}" pid="70" name="tableTitle">
    <vt:lpwstr>Table</vt:lpwstr>
  </property>
  <property fmtid="{D5CDD505-2E9C-101B-9397-08002B2CF9AE}" pid="71" name="tblLabels">
    <vt:lpwstr>arabic</vt:lpwstr>
  </property>
  <property fmtid="{D5CDD505-2E9C-101B-9397-08002B2CF9AE}" pid="72" name="tblPrefix">
    <vt:lpwstr/>
  </property>
  <property fmtid="{D5CDD505-2E9C-101B-9397-08002B2CF9AE}" pid="73" name="tblPrefixTemplate">
    <vt:lpwstr>p i</vt:lpwstr>
  </property>
  <property fmtid="{D5CDD505-2E9C-101B-9397-08002B2CF9AE}" pid="74" name="titleDelim">
    <vt:lpwstr>:</vt:lpwstr>
  </property>
</Properties>
</file>